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FA86" w14:textId="5154038E" w:rsidR="00E06879" w:rsidRPr="00E06879" w:rsidRDefault="00E06879" w:rsidP="00E06879">
      <w:pPr>
        <w:pStyle w:val="Heading2"/>
        <w:rPr>
          <w:rFonts w:ascii="Segoe UI" w:hAnsi="Segoe UI" w:cs="Segoe UI"/>
        </w:rPr>
      </w:pPr>
      <w:bookmarkStart w:id="0" w:name="_Toc117593832"/>
      <w:r w:rsidRPr="00E06879">
        <w:rPr>
          <w:rFonts w:ascii="Segoe UI" w:hAnsi="Segoe UI" w:cs="Segoe UI"/>
        </w:rPr>
        <w:t>6.7</w:t>
      </w:r>
      <w:r w:rsidRPr="00E06879">
        <w:rPr>
          <w:rFonts w:ascii="Segoe UI" w:hAnsi="Segoe UI" w:cs="Segoe UI"/>
        </w:rPr>
        <w:tab/>
        <w:t>Ta</w:t>
      </w:r>
      <w:r w:rsidR="00492C25">
        <w:rPr>
          <w:rFonts w:ascii="Segoe UI" w:hAnsi="Segoe UI" w:cs="Segoe UI"/>
        </w:rPr>
        <w:t>rgeted</w:t>
      </w:r>
      <w:r w:rsidRPr="00E06879">
        <w:rPr>
          <w:rFonts w:ascii="Segoe UI" w:hAnsi="Segoe UI" w:cs="Segoe UI"/>
        </w:rPr>
        <w:t xml:space="preserve"> food aid provision</w:t>
      </w:r>
      <w:bookmarkEnd w:id="0"/>
    </w:p>
    <w:p w14:paraId="46C4D89A" w14:textId="77777777" w:rsidR="007210C6" w:rsidRPr="00A90A25" w:rsidRDefault="007210C6" w:rsidP="005232CF">
      <w:pPr>
        <w:rPr>
          <w:rFonts w:ascii="Segoe UI" w:hAnsi="Segoe UI" w:cs="Segoe UI"/>
          <w:b/>
          <w:bCs/>
          <w:sz w:val="21"/>
          <w:szCs w:val="21"/>
        </w:rPr>
      </w:pPr>
    </w:p>
    <w:p w14:paraId="18856647" w14:textId="28902494" w:rsidR="00A02DED" w:rsidRPr="00A90A25" w:rsidRDefault="00A02DED" w:rsidP="005232CF">
      <w:pPr>
        <w:rPr>
          <w:rFonts w:ascii="Segoe UI" w:hAnsi="Segoe UI" w:cs="Segoe UI"/>
          <w:sz w:val="21"/>
          <w:szCs w:val="21"/>
        </w:rPr>
      </w:pPr>
      <w:r w:rsidRPr="00A90A25">
        <w:rPr>
          <w:rFonts w:ascii="Segoe UI" w:hAnsi="Segoe UI" w:cs="Segoe UI"/>
          <w:sz w:val="21"/>
          <w:szCs w:val="21"/>
        </w:rPr>
        <w:t>This section is based on a detailed review of 1</w:t>
      </w:r>
      <w:r w:rsidR="00553FAF">
        <w:rPr>
          <w:rFonts w:ascii="Segoe UI" w:hAnsi="Segoe UI" w:cs="Segoe UI"/>
          <w:sz w:val="21"/>
          <w:szCs w:val="21"/>
        </w:rPr>
        <w:t>0</w:t>
      </w:r>
      <w:r w:rsidRPr="00A90A25">
        <w:rPr>
          <w:rFonts w:ascii="Segoe UI" w:hAnsi="Segoe UI" w:cs="Segoe UI"/>
          <w:sz w:val="21"/>
          <w:szCs w:val="21"/>
        </w:rPr>
        <w:t xml:space="preserve"> of the most relevant studies.</w:t>
      </w:r>
    </w:p>
    <w:p w14:paraId="3B67FD3B" w14:textId="77777777" w:rsidR="005D3857" w:rsidRPr="00A90A25" w:rsidRDefault="005D3857" w:rsidP="005232CF">
      <w:pPr>
        <w:rPr>
          <w:rFonts w:ascii="Segoe UI" w:hAnsi="Segoe UI" w:cs="Segoe UI"/>
          <w:b/>
          <w:bCs/>
          <w:sz w:val="21"/>
          <w:szCs w:val="21"/>
        </w:rPr>
      </w:pPr>
    </w:p>
    <w:p w14:paraId="243A7585" w14:textId="1EB2E7C1" w:rsidR="00E06879" w:rsidRPr="00E06879" w:rsidRDefault="00E06879" w:rsidP="00E06879">
      <w:pPr>
        <w:spacing w:after="200" w:line="288" w:lineRule="auto"/>
        <w:rPr>
          <w:rFonts w:ascii="Segoe UI" w:eastAsiaTheme="minorEastAsia" w:hAnsi="Segoe UI" w:cs="Segoe UI"/>
          <w:b/>
          <w:bCs/>
          <w:sz w:val="28"/>
          <w:szCs w:val="28"/>
        </w:rPr>
      </w:pPr>
      <w:r w:rsidRPr="00E06879">
        <w:rPr>
          <w:rFonts w:ascii="Segoe UI" w:eastAsiaTheme="minorEastAsia" w:hAnsi="Segoe UI" w:cs="Segoe UI"/>
          <w:b/>
          <w:bCs/>
          <w:sz w:val="28"/>
          <w:szCs w:val="28"/>
        </w:rPr>
        <w:t>Definition – targeted</w:t>
      </w:r>
      <w:r w:rsidR="00492C25">
        <w:rPr>
          <w:rFonts w:ascii="Segoe UI" w:eastAsiaTheme="minorEastAsia" w:hAnsi="Segoe UI" w:cs="Segoe UI"/>
          <w:b/>
          <w:bCs/>
          <w:sz w:val="28"/>
          <w:szCs w:val="28"/>
        </w:rPr>
        <w:t xml:space="preserve"> (tailored)</w:t>
      </w:r>
      <w:r w:rsidRPr="00E06879">
        <w:rPr>
          <w:rFonts w:ascii="Segoe UI" w:eastAsiaTheme="minorEastAsia" w:hAnsi="Segoe UI" w:cs="Segoe UI"/>
          <w:b/>
          <w:bCs/>
          <w:sz w:val="28"/>
          <w:szCs w:val="28"/>
        </w:rPr>
        <w:t xml:space="preserve"> food aid provision</w:t>
      </w:r>
    </w:p>
    <w:p w14:paraId="2AFFA34D" w14:textId="77B989AB" w:rsidR="003035C0" w:rsidRPr="00A90A25" w:rsidRDefault="00E06879" w:rsidP="005232CF">
      <w:pPr>
        <w:rPr>
          <w:rFonts w:ascii="Segoe UI" w:hAnsi="Segoe UI" w:cs="Segoe UI"/>
          <w:b/>
          <w:bCs/>
          <w:sz w:val="21"/>
          <w:szCs w:val="21"/>
        </w:rPr>
      </w:pPr>
      <w:r w:rsidRPr="00A90A25">
        <w:rPr>
          <w:rFonts w:ascii="Segoe UI" w:hAnsi="Segoe UI" w:cs="Segoe UI"/>
          <w:sz w:val="21"/>
          <w:szCs w:val="21"/>
        </w:rPr>
        <w:t>This section considers work being done by organisations to tailor food support to particular population groups</w:t>
      </w:r>
      <w:r w:rsidR="00CB3BF5">
        <w:rPr>
          <w:rStyle w:val="EndnoteReference"/>
          <w:rFonts w:ascii="Segoe UI" w:hAnsi="Segoe UI" w:cs="Segoe UI"/>
          <w:sz w:val="21"/>
          <w:szCs w:val="21"/>
        </w:rPr>
        <w:endnoteReference w:id="1"/>
      </w:r>
      <w:r w:rsidR="00CB3BF5">
        <w:rPr>
          <w:rFonts w:ascii="Segoe UI" w:hAnsi="Segoe UI" w:cs="Segoe UI"/>
          <w:sz w:val="21"/>
          <w:szCs w:val="21"/>
        </w:rPr>
        <w:t>, with a particular focus (owing to the availability of evidence) on targeting of food aid for children and families experiencing financial struggle or insecurity.</w:t>
      </w:r>
    </w:p>
    <w:p w14:paraId="26922A9E" w14:textId="77777777" w:rsidR="00E06879" w:rsidRPr="00A90A25" w:rsidRDefault="00E06879" w:rsidP="005232CF">
      <w:pPr>
        <w:rPr>
          <w:rFonts w:ascii="Segoe UI" w:hAnsi="Segoe UI" w:cs="Segoe UI"/>
          <w:b/>
          <w:bCs/>
          <w:sz w:val="21"/>
          <w:szCs w:val="21"/>
        </w:rPr>
      </w:pPr>
    </w:p>
    <w:p w14:paraId="2C909B8C" w14:textId="35F90069" w:rsidR="00512F2B" w:rsidRDefault="00E5629F" w:rsidP="005232CF">
      <w:pPr>
        <w:rPr>
          <w:rFonts w:ascii="Segoe UI" w:hAnsi="Segoe UI" w:cs="Segoe UI"/>
          <w:sz w:val="21"/>
          <w:szCs w:val="21"/>
        </w:rPr>
      </w:pPr>
      <w:r>
        <w:rPr>
          <w:rFonts w:ascii="Segoe UI" w:hAnsi="Segoe UI" w:cs="Segoe UI"/>
          <w:sz w:val="21"/>
          <w:szCs w:val="21"/>
        </w:rPr>
        <w:t>Tailored</w:t>
      </w:r>
      <w:r w:rsidR="00512F2B" w:rsidRPr="00A90A25">
        <w:rPr>
          <w:rFonts w:ascii="Segoe UI" w:hAnsi="Segoe UI" w:cs="Segoe UI"/>
          <w:sz w:val="21"/>
          <w:szCs w:val="21"/>
        </w:rPr>
        <w:t xml:space="preserve"> food provision, such as school meal and holiday hunger clubs, are an example of ‘attended programmes’ one of two strategies that provide different possibilities for supporting families experiencing food insecurity</w:t>
      </w:r>
      <w:r w:rsidR="00CB3BF5">
        <w:rPr>
          <w:rFonts w:ascii="Segoe UI" w:hAnsi="Segoe UI" w:cs="Segoe UI"/>
          <w:sz w:val="21"/>
          <w:szCs w:val="21"/>
        </w:rPr>
        <w:t>:</w:t>
      </w:r>
    </w:p>
    <w:p w14:paraId="7DB8FBB8" w14:textId="77777777" w:rsidR="00CB3BF5" w:rsidRPr="00A90A25" w:rsidRDefault="00CB3BF5" w:rsidP="005232CF">
      <w:pPr>
        <w:rPr>
          <w:rFonts w:ascii="Segoe UI" w:hAnsi="Segoe UI" w:cs="Segoe UI"/>
          <w:sz w:val="21"/>
          <w:szCs w:val="21"/>
        </w:rPr>
      </w:pPr>
    </w:p>
    <w:p w14:paraId="19D38120" w14:textId="62C2183E" w:rsidR="0091562F" w:rsidRPr="00A90A25" w:rsidRDefault="00512F2B" w:rsidP="00512F2B">
      <w:pPr>
        <w:ind w:left="720"/>
        <w:rPr>
          <w:rFonts w:ascii="Segoe UI" w:hAnsi="Segoe UI" w:cs="Segoe UI"/>
          <w:sz w:val="21"/>
          <w:szCs w:val="21"/>
        </w:rPr>
      </w:pPr>
      <w:r w:rsidRPr="00D73287">
        <w:rPr>
          <w:rFonts w:ascii="Segoe UI" w:hAnsi="Segoe UI" w:cs="Segoe UI"/>
          <w:i/>
          <w:iCs/>
          <w:sz w:val="21"/>
          <w:szCs w:val="21"/>
        </w:rPr>
        <w:t>“Attended programmes can be devised in ways where children access support in spaces and places that they already attend (</w:t>
      </w:r>
      <w:r w:rsidR="00137098" w:rsidRPr="00D73287">
        <w:rPr>
          <w:rFonts w:ascii="Segoe UI" w:hAnsi="Segoe UI" w:cs="Segoe UI"/>
          <w:i/>
          <w:iCs/>
          <w:sz w:val="21"/>
          <w:szCs w:val="21"/>
        </w:rPr>
        <w:t>e.g.,</w:t>
      </w:r>
      <w:r w:rsidRPr="00D73287">
        <w:rPr>
          <w:rFonts w:ascii="Segoe UI" w:hAnsi="Segoe UI" w:cs="Segoe UI"/>
          <w:i/>
          <w:iCs/>
          <w:sz w:val="21"/>
          <w:szCs w:val="21"/>
        </w:rPr>
        <w:t xml:space="preserve"> school) as universal provision which reduces the risk of children being further stigmatised.</w:t>
      </w:r>
      <w:r w:rsidR="00D73287" w:rsidRPr="00D73287">
        <w:rPr>
          <w:rFonts w:ascii="Segoe UI" w:hAnsi="Segoe UI" w:cs="Segoe UI"/>
          <w:i/>
          <w:iCs/>
          <w:sz w:val="21"/>
          <w:szCs w:val="21"/>
        </w:rPr>
        <w:t>”</w:t>
      </w:r>
      <w:r w:rsidR="0091562F" w:rsidRPr="00A90A25">
        <w:rPr>
          <w:rStyle w:val="EndnoteReference"/>
          <w:rFonts w:ascii="Segoe UI" w:hAnsi="Segoe UI" w:cs="Segoe UI"/>
          <w:sz w:val="21"/>
          <w:szCs w:val="21"/>
        </w:rPr>
        <w:endnoteReference w:id="2"/>
      </w:r>
    </w:p>
    <w:p w14:paraId="790A8DC0" w14:textId="3732215F" w:rsidR="0091562F" w:rsidRPr="00A90A25" w:rsidRDefault="0091562F" w:rsidP="005232CF">
      <w:pPr>
        <w:rPr>
          <w:rFonts w:ascii="Segoe UI" w:hAnsi="Segoe UI" w:cs="Segoe UI"/>
          <w:sz w:val="21"/>
          <w:szCs w:val="21"/>
        </w:rPr>
      </w:pPr>
    </w:p>
    <w:p w14:paraId="414F1B1B" w14:textId="6458C62C" w:rsidR="0091562F" w:rsidRPr="00A90A25" w:rsidRDefault="0091562F" w:rsidP="005232CF">
      <w:pPr>
        <w:rPr>
          <w:rFonts w:ascii="Segoe UI" w:hAnsi="Segoe UI" w:cs="Segoe UI"/>
          <w:sz w:val="21"/>
          <w:szCs w:val="21"/>
        </w:rPr>
      </w:pPr>
      <w:r w:rsidRPr="00A90A25">
        <w:rPr>
          <w:rFonts w:ascii="Segoe UI" w:hAnsi="Segoe UI" w:cs="Segoe UI"/>
          <w:sz w:val="21"/>
          <w:szCs w:val="21"/>
        </w:rPr>
        <w:t xml:space="preserve">Holiday hunger has been defined as: </w:t>
      </w:r>
      <w:r w:rsidRPr="00D73287">
        <w:rPr>
          <w:rFonts w:ascii="Segoe UI" w:hAnsi="Segoe UI" w:cs="Segoe UI"/>
          <w:i/>
          <w:iCs/>
          <w:sz w:val="21"/>
          <w:szCs w:val="21"/>
        </w:rPr>
        <w:t>"a situation that occurs when economically disadvantaged households with school-aged children experience food insecurity during the school holidays."</w:t>
      </w:r>
      <w:r w:rsidRPr="00D73287">
        <w:rPr>
          <w:rStyle w:val="EndnoteReference"/>
          <w:rFonts w:ascii="Segoe UI" w:hAnsi="Segoe UI" w:cs="Segoe UI"/>
          <w:i/>
          <w:iCs/>
          <w:sz w:val="21"/>
          <w:szCs w:val="21"/>
        </w:rPr>
        <w:endnoteReference w:id="3"/>
      </w:r>
    </w:p>
    <w:p w14:paraId="422D3A30" w14:textId="537007CA" w:rsidR="0091562F" w:rsidRPr="00A90A25" w:rsidRDefault="0091562F" w:rsidP="005232CF">
      <w:pPr>
        <w:rPr>
          <w:rFonts w:ascii="Segoe UI" w:hAnsi="Segoe UI" w:cs="Segoe UI"/>
          <w:sz w:val="21"/>
          <w:szCs w:val="21"/>
        </w:rPr>
      </w:pPr>
    </w:p>
    <w:p w14:paraId="5D5360B6" w14:textId="1818BDAC" w:rsidR="0091562F" w:rsidRPr="00A90A25" w:rsidRDefault="0091562F" w:rsidP="00023EF2">
      <w:pPr>
        <w:rPr>
          <w:rFonts w:ascii="Segoe UI" w:hAnsi="Segoe UI" w:cs="Segoe UI"/>
          <w:sz w:val="21"/>
          <w:szCs w:val="21"/>
        </w:rPr>
      </w:pPr>
      <w:r w:rsidRPr="00A90A25">
        <w:rPr>
          <w:rFonts w:ascii="Segoe UI" w:hAnsi="Segoe UI" w:cs="Segoe UI"/>
          <w:sz w:val="21"/>
          <w:szCs w:val="21"/>
        </w:rPr>
        <w:t>The support required follows an annual cycle in line with the school year. A Scottish study identified three broad phases: term time, 1 month before the school summer holidays (pre-school summer holiday period), and during the 6- or 7-week summer break.</w:t>
      </w:r>
      <w:r w:rsidRPr="00A90A25">
        <w:rPr>
          <w:rStyle w:val="EndnoteReference"/>
          <w:rFonts w:ascii="Segoe UI" w:hAnsi="Segoe UI" w:cs="Segoe UI"/>
          <w:sz w:val="21"/>
          <w:szCs w:val="21"/>
        </w:rPr>
        <w:endnoteReference w:id="4"/>
      </w:r>
      <w:r w:rsidRPr="00A90A25">
        <w:rPr>
          <w:rFonts w:ascii="Segoe UI" w:hAnsi="Segoe UI" w:cs="Segoe UI"/>
          <w:sz w:val="21"/>
          <w:szCs w:val="21"/>
        </w:rPr>
        <w:t xml:space="preserve"> </w:t>
      </w:r>
    </w:p>
    <w:p w14:paraId="0BE7B04B" w14:textId="2C929FE6" w:rsidR="0091562F" w:rsidRPr="00A90A25" w:rsidRDefault="0091562F" w:rsidP="005232CF">
      <w:pPr>
        <w:rPr>
          <w:rFonts w:ascii="Segoe UI" w:hAnsi="Segoe UI" w:cs="Segoe UI"/>
          <w:sz w:val="21"/>
          <w:szCs w:val="21"/>
        </w:rPr>
      </w:pPr>
    </w:p>
    <w:p w14:paraId="56AFB225" w14:textId="26CACC02" w:rsidR="00CB3BF5" w:rsidRPr="00094F92" w:rsidRDefault="00CB3BF5" w:rsidP="005232CF">
      <w:pPr>
        <w:rPr>
          <w:rFonts w:ascii="Segoe UI" w:hAnsi="Segoe UI" w:cs="Segoe UI"/>
          <w:b/>
          <w:bCs/>
          <w:sz w:val="21"/>
          <w:szCs w:val="21"/>
        </w:rPr>
      </w:pPr>
      <w:r w:rsidRPr="00094F92">
        <w:rPr>
          <w:rFonts w:ascii="Segoe UI" w:hAnsi="Segoe UI" w:cs="Segoe UI"/>
          <w:b/>
          <w:bCs/>
          <w:sz w:val="21"/>
          <w:szCs w:val="21"/>
        </w:rPr>
        <w:t>Models</w:t>
      </w:r>
    </w:p>
    <w:p w14:paraId="4D013F45" w14:textId="77777777" w:rsidR="00CB3BF5" w:rsidRDefault="00CB3BF5" w:rsidP="005232CF">
      <w:pPr>
        <w:rPr>
          <w:rFonts w:ascii="Segoe UI" w:hAnsi="Segoe UI" w:cs="Segoe UI"/>
          <w:sz w:val="21"/>
          <w:szCs w:val="21"/>
        </w:rPr>
      </w:pPr>
    </w:p>
    <w:p w14:paraId="19370BB6" w14:textId="5418CE50" w:rsidR="0091562F" w:rsidRPr="00A90A25" w:rsidRDefault="0091562F" w:rsidP="005232CF">
      <w:pPr>
        <w:rPr>
          <w:rFonts w:ascii="Segoe UI" w:hAnsi="Segoe UI" w:cs="Segoe UI"/>
          <w:sz w:val="21"/>
          <w:szCs w:val="21"/>
        </w:rPr>
      </w:pPr>
      <w:r w:rsidRPr="00A90A25">
        <w:rPr>
          <w:rFonts w:ascii="Segoe UI" w:hAnsi="Segoe UI" w:cs="Segoe UI"/>
          <w:sz w:val="21"/>
          <w:szCs w:val="21"/>
        </w:rPr>
        <w:t>Holiday food club</w:t>
      </w:r>
      <w:r w:rsidR="00CB3BF5">
        <w:rPr>
          <w:rFonts w:ascii="Segoe UI" w:hAnsi="Segoe UI" w:cs="Segoe UI"/>
          <w:sz w:val="21"/>
          <w:szCs w:val="21"/>
        </w:rPr>
        <w:t>s</w:t>
      </w:r>
      <w:r w:rsidRPr="00A90A25">
        <w:rPr>
          <w:rFonts w:ascii="Segoe UI" w:hAnsi="Segoe UI" w:cs="Segoe UI"/>
          <w:sz w:val="21"/>
          <w:szCs w:val="21"/>
        </w:rPr>
        <w:t xml:space="preserve"> are interventions which mainly focus on household strategies to mitigate food insecurity especially as it relates to school holidays and lack of access to free school meals. Research has found that these are mainly accessed by children aged 4 to 16.</w:t>
      </w:r>
    </w:p>
    <w:p w14:paraId="1F52BC86" w14:textId="44171C9F" w:rsidR="0091562F" w:rsidRPr="00A90A25" w:rsidRDefault="0091562F" w:rsidP="005232CF">
      <w:pPr>
        <w:rPr>
          <w:rFonts w:ascii="Segoe UI" w:hAnsi="Segoe UI" w:cs="Segoe UI"/>
          <w:sz w:val="21"/>
          <w:szCs w:val="21"/>
        </w:rPr>
      </w:pPr>
    </w:p>
    <w:p w14:paraId="54E4612C" w14:textId="438AA6FC" w:rsidR="0091562F" w:rsidRPr="00A90A25" w:rsidRDefault="0091562F" w:rsidP="005232CF">
      <w:pPr>
        <w:rPr>
          <w:rFonts w:ascii="Segoe UI" w:hAnsi="Segoe UI" w:cs="Segoe UI"/>
          <w:sz w:val="21"/>
          <w:szCs w:val="21"/>
        </w:rPr>
      </w:pPr>
      <w:r w:rsidRPr="00A90A25">
        <w:rPr>
          <w:rFonts w:ascii="Segoe UI" w:hAnsi="Segoe UI" w:cs="Segoe UI"/>
          <w:sz w:val="21"/>
          <w:szCs w:val="21"/>
        </w:rPr>
        <w:t xml:space="preserve">During COVID-19, </w:t>
      </w:r>
      <w:r w:rsidR="00E5629F">
        <w:rPr>
          <w:rFonts w:ascii="Segoe UI" w:hAnsi="Segoe UI" w:cs="Segoe UI"/>
          <w:sz w:val="21"/>
          <w:szCs w:val="21"/>
        </w:rPr>
        <w:t>tailored</w:t>
      </w:r>
      <w:r w:rsidRPr="00A90A25">
        <w:rPr>
          <w:rFonts w:ascii="Segoe UI" w:hAnsi="Segoe UI" w:cs="Segoe UI"/>
          <w:sz w:val="21"/>
          <w:szCs w:val="21"/>
        </w:rPr>
        <w:t xml:space="preserve"> food support played an important role in feeding people who were vulnerable, unwell or shielding.</w:t>
      </w:r>
    </w:p>
    <w:p w14:paraId="21A36DCB" w14:textId="77777777" w:rsidR="0091562F" w:rsidRPr="00A90A25" w:rsidRDefault="0091562F" w:rsidP="005232CF">
      <w:pPr>
        <w:rPr>
          <w:rFonts w:ascii="Segoe UI" w:hAnsi="Segoe UI" w:cs="Segoe UI"/>
          <w:sz w:val="21"/>
          <w:szCs w:val="21"/>
        </w:rPr>
      </w:pPr>
    </w:p>
    <w:p w14:paraId="0A83AA69" w14:textId="232BBD4A" w:rsidR="0091562F" w:rsidRPr="00A90A25" w:rsidRDefault="0091562F" w:rsidP="005232CF">
      <w:pPr>
        <w:rPr>
          <w:rFonts w:ascii="Segoe UI" w:hAnsi="Segoe UI" w:cs="Segoe UI"/>
          <w:sz w:val="21"/>
          <w:szCs w:val="21"/>
        </w:rPr>
      </w:pPr>
      <w:r w:rsidRPr="00A90A25">
        <w:rPr>
          <w:rFonts w:ascii="Segoe UI" w:hAnsi="Segoe UI" w:cs="Segoe UI"/>
          <w:sz w:val="21"/>
          <w:szCs w:val="21"/>
        </w:rPr>
        <w:t xml:space="preserve">While the mix and blend of activities offered varied, the primacy is </w:t>
      </w:r>
      <w:r w:rsidRPr="00D73287">
        <w:rPr>
          <w:rFonts w:ascii="Segoe UI" w:hAnsi="Segoe UI" w:cs="Segoe UI"/>
          <w:i/>
          <w:iCs/>
          <w:sz w:val="21"/>
          <w:szCs w:val="21"/>
        </w:rPr>
        <w:t>“giving people quality food.”</w:t>
      </w:r>
      <w:r w:rsidRPr="00D73287">
        <w:rPr>
          <w:rStyle w:val="EndnoteReference"/>
          <w:rFonts w:ascii="Segoe UI" w:hAnsi="Segoe UI" w:cs="Segoe UI"/>
          <w:i/>
          <w:iCs/>
          <w:sz w:val="21"/>
          <w:szCs w:val="21"/>
        </w:rPr>
        <w:endnoteReference w:id="5"/>
      </w:r>
    </w:p>
    <w:p w14:paraId="17D4B15E" w14:textId="535C53C5" w:rsidR="00B12290" w:rsidRDefault="00B12290" w:rsidP="005232CF">
      <w:pPr>
        <w:rPr>
          <w:rFonts w:ascii="Segoe UI" w:hAnsi="Segoe UI" w:cs="Segoe UI"/>
          <w:b/>
          <w:bCs/>
          <w:sz w:val="21"/>
          <w:szCs w:val="21"/>
        </w:rPr>
      </w:pPr>
    </w:p>
    <w:p w14:paraId="57F846CE" w14:textId="7BB930CB" w:rsidR="007C4366" w:rsidRDefault="00E5629F" w:rsidP="00094F92">
      <w:pPr>
        <w:rPr>
          <w:rFonts w:ascii="Segoe UI" w:hAnsi="Segoe UI" w:cs="Segoe UI"/>
          <w:sz w:val="21"/>
          <w:szCs w:val="21"/>
        </w:rPr>
      </w:pPr>
      <w:r>
        <w:rPr>
          <w:rFonts w:ascii="Segoe UI" w:hAnsi="Segoe UI" w:cs="Segoe UI"/>
          <w:sz w:val="21"/>
          <w:szCs w:val="21"/>
        </w:rPr>
        <w:t>Tailored</w:t>
      </w:r>
      <w:r w:rsidR="00094F92" w:rsidRPr="00094F92">
        <w:rPr>
          <w:rFonts w:ascii="Segoe UI" w:hAnsi="Segoe UI" w:cs="Segoe UI"/>
          <w:sz w:val="21"/>
          <w:szCs w:val="21"/>
        </w:rPr>
        <w:t xml:space="preserve"> food aid is also aimed at particular communities with different diets and food requirements and preferences. A meta review of COVID responses identified examples of tailored provision being made available to families with school aged children, Black, Asian and minority ethnic groups, and asylum seekers and refugees </w:t>
      </w:r>
      <w:r w:rsidR="00E0052B">
        <w:rPr>
          <w:rFonts w:ascii="Segoe UI" w:hAnsi="Segoe UI" w:cs="Segoe UI"/>
          <w:sz w:val="21"/>
          <w:szCs w:val="21"/>
        </w:rPr>
        <w:t xml:space="preserve">made available </w:t>
      </w:r>
      <w:r w:rsidR="00094F92" w:rsidRPr="00094F92">
        <w:rPr>
          <w:rFonts w:ascii="Segoe UI" w:hAnsi="Segoe UI" w:cs="Segoe UI"/>
          <w:sz w:val="21"/>
          <w:szCs w:val="21"/>
        </w:rPr>
        <w:t xml:space="preserve">during March to August 2020. </w:t>
      </w:r>
    </w:p>
    <w:p w14:paraId="12E95F00" w14:textId="1886F679" w:rsidR="007C4366" w:rsidRDefault="007C4366" w:rsidP="00094F92">
      <w:pPr>
        <w:rPr>
          <w:rFonts w:ascii="Segoe UI" w:hAnsi="Segoe UI" w:cs="Segoe UI"/>
          <w:sz w:val="21"/>
          <w:szCs w:val="21"/>
        </w:rPr>
      </w:pPr>
      <w:r>
        <w:rPr>
          <w:rFonts w:ascii="Segoe UI" w:hAnsi="Segoe UI" w:cs="Segoe UI"/>
          <w:sz w:val="21"/>
          <w:szCs w:val="21"/>
        </w:rPr>
        <w:t>In the absence of statutory support to certain groups during the pandemic, VCSEs had stepped into the gap – often temporarily.</w:t>
      </w:r>
      <w:r>
        <w:rPr>
          <w:rStyle w:val="EndnoteReference"/>
          <w:rFonts w:ascii="Segoe UI" w:hAnsi="Segoe UI" w:cs="Segoe UI"/>
          <w:sz w:val="21"/>
          <w:szCs w:val="21"/>
        </w:rPr>
        <w:endnoteReference w:id="6"/>
      </w:r>
    </w:p>
    <w:p w14:paraId="57AF6C5A" w14:textId="77777777" w:rsidR="007C4366" w:rsidRDefault="007C4366" w:rsidP="00094F92">
      <w:pPr>
        <w:rPr>
          <w:rFonts w:ascii="Segoe UI" w:hAnsi="Segoe UI" w:cs="Segoe UI"/>
          <w:sz w:val="21"/>
          <w:szCs w:val="21"/>
        </w:rPr>
      </w:pPr>
    </w:p>
    <w:p w14:paraId="0A2FD830" w14:textId="6AC1410C" w:rsidR="00094F92" w:rsidRDefault="00E0052B" w:rsidP="00094F92">
      <w:pPr>
        <w:rPr>
          <w:rFonts w:ascii="Segoe UI" w:hAnsi="Segoe UI" w:cs="Segoe UI"/>
          <w:sz w:val="21"/>
          <w:szCs w:val="21"/>
        </w:rPr>
      </w:pPr>
      <w:r>
        <w:rPr>
          <w:rFonts w:ascii="Segoe UI" w:hAnsi="Segoe UI" w:cs="Segoe UI"/>
          <w:sz w:val="21"/>
          <w:szCs w:val="21"/>
        </w:rPr>
        <w:t>T</w:t>
      </w:r>
      <w:r w:rsidR="00094F92" w:rsidRPr="00094F92">
        <w:rPr>
          <w:rFonts w:ascii="Segoe UI" w:hAnsi="Segoe UI" w:cs="Segoe UI"/>
          <w:sz w:val="21"/>
          <w:szCs w:val="21"/>
        </w:rPr>
        <w:t xml:space="preserve">here was also some concern that there may still have been population groups who were missed by the support </w:t>
      </w:r>
      <w:r>
        <w:rPr>
          <w:rFonts w:ascii="Segoe UI" w:hAnsi="Segoe UI" w:cs="Segoe UI"/>
          <w:sz w:val="21"/>
          <w:szCs w:val="21"/>
        </w:rPr>
        <w:t>then, or indeed since COVID</w:t>
      </w:r>
      <w:r w:rsidR="00094F92" w:rsidRPr="00094F92">
        <w:rPr>
          <w:rFonts w:ascii="Segoe UI" w:hAnsi="Segoe UI" w:cs="Segoe UI"/>
          <w:sz w:val="21"/>
          <w:szCs w:val="21"/>
        </w:rPr>
        <w:t>.</w:t>
      </w:r>
      <w:r w:rsidR="00094F92">
        <w:rPr>
          <w:rStyle w:val="EndnoteReference"/>
          <w:rFonts w:ascii="Segoe UI" w:hAnsi="Segoe UI" w:cs="Segoe UI"/>
          <w:sz w:val="21"/>
          <w:szCs w:val="21"/>
        </w:rPr>
        <w:endnoteReference w:id="7"/>
      </w:r>
    </w:p>
    <w:p w14:paraId="0C1720AE" w14:textId="6E4D5D18" w:rsidR="009C01C4" w:rsidRDefault="009C01C4" w:rsidP="00094F92">
      <w:pPr>
        <w:rPr>
          <w:rFonts w:ascii="Segoe UI" w:hAnsi="Segoe UI" w:cs="Segoe UI"/>
          <w:sz w:val="21"/>
          <w:szCs w:val="21"/>
        </w:rPr>
      </w:pPr>
    </w:p>
    <w:p w14:paraId="7F852B34" w14:textId="77777777" w:rsidR="009C01C4" w:rsidRPr="009C01C4" w:rsidRDefault="009C01C4" w:rsidP="009C01C4">
      <w:pPr>
        <w:rPr>
          <w:rFonts w:ascii="Segoe UI" w:hAnsi="Segoe UI" w:cs="Segoe UI"/>
          <w:sz w:val="21"/>
          <w:szCs w:val="21"/>
        </w:rPr>
      </w:pPr>
      <w:r>
        <w:rPr>
          <w:rFonts w:ascii="Segoe UI" w:hAnsi="Segoe UI" w:cs="Segoe UI"/>
          <w:sz w:val="21"/>
          <w:szCs w:val="21"/>
        </w:rPr>
        <w:t>As with other food models, tailored support can also be extended to include advice and support.</w:t>
      </w:r>
    </w:p>
    <w:p w14:paraId="28F9502A" w14:textId="77777777" w:rsidR="009C01C4" w:rsidRPr="00094F92" w:rsidRDefault="009C01C4" w:rsidP="00094F92">
      <w:pPr>
        <w:rPr>
          <w:rFonts w:ascii="Segoe UI" w:hAnsi="Segoe UI" w:cs="Segoe UI"/>
          <w:sz w:val="21"/>
          <w:szCs w:val="21"/>
        </w:rPr>
      </w:pPr>
    </w:p>
    <w:p w14:paraId="2A75411E" w14:textId="77777777" w:rsidR="00AC121A" w:rsidRDefault="00AC121A">
      <w:pPr>
        <w:rPr>
          <w:rFonts w:ascii="Segoe UI" w:hAnsi="Segoe UI" w:cs="Segoe UI"/>
          <w:sz w:val="21"/>
          <w:szCs w:val="21"/>
        </w:rPr>
      </w:pPr>
      <w:r>
        <w:rPr>
          <w:rFonts w:ascii="Segoe UI" w:hAnsi="Segoe UI" w:cs="Segoe UI"/>
          <w:sz w:val="21"/>
          <w:szCs w:val="21"/>
        </w:rPr>
        <w:br w:type="page"/>
      </w:r>
    </w:p>
    <w:p w14:paraId="6878449E" w14:textId="54B12214" w:rsidR="00CB3BF5" w:rsidRPr="004875C1" w:rsidRDefault="00CB3BF5" w:rsidP="00CB3BF5">
      <w:pPr>
        <w:rPr>
          <w:rFonts w:ascii="Segoe UI" w:hAnsi="Segoe UI" w:cs="Segoe UI"/>
          <w:b/>
          <w:bCs/>
          <w:sz w:val="28"/>
          <w:szCs w:val="28"/>
        </w:rPr>
      </w:pPr>
      <w:r w:rsidRPr="004875C1">
        <w:rPr>
          <w:rFonts w:ascii="Segoe UI" w:hAnsi="Segoe UI" w:cs="Segoe UI"/>
          <w:b/>
          <w:bCs/>
          <w:sz w:val="28"/>
          <w:szCs w:val="28"/>
        </w:rPr>
        <w:lastRenderedPageBreak/>
        <w:t>Evidence</w:t>
      </w:r>
    </w:p>
    <w:p w14:paraId="2608D2F3" w14:textId="77777777" w:rsidR="00CB3BF5" w:rsidRPr="00E01051" w:rsidRDefault="00CB3BF5" w:rsidP="00CB3BF5">
      <w:pPr>
        <w:rPr>
          <w:rFonts w:ascii="Segoe UI" w:hAnsi="Segoe UI" w:cs="Segoe UI"/>
          <w:b/>
          <w:bCs/>
          <w:sz w:val="21"/>
          <w:szCs w:val="21"/>
        </w:rPr>
      </w:pPr>
    </w:p>
    <w:p w14:paraId="3B918354" w14:textId="5BCC134E" w:rsidR="00CB3BF5" w:rsidRPr="00E01051" w:rsidRDefault="00CB3BF5" w:rsidP="00CB3BF5">
      <w:pPr>
        <w:rPr>
          <w:rFonts w:ascii="Segoe UI" w:hAnsi="Segoe UI" w:cs="Segoe UI"/>
          <w:b/>
          <w:bCs/>
          <w:sz w:val="21"/>
          <w:szCs w:val="21"/>
        </w:rPr>
      </w:pPr>
      <w:r w:rsidRPr="00E01051">
        <w:rPr>
          <w:rFonts w:ascii="Segoe UI" w:hAnsi="Segoe UI" w:cs="Segoe UI"/>
          <w:b/>
          <w:bCs/>
          <w:sz w:val="21"/>
          <w:szCs w:val="21"/>
        </w:rPr>
        <w:t xml:space="preserve">A Systematic Review of the Evaluation of Interventions to Tackle Children's Food Insecurity </w:t>
      </w:r>
      <w:r w:rsidR="00D73287">
        <w:rPr>
          <w:rFonts w:ascii="Segoe UI" w:hAnsi="Segoe UI" w:cs="Segoe UI"/>
          <w:b/>
          <w:bCs/>
          <w:sz w:val="21"/>
          <w:szCs w:val="21"/>
        </w:rPr>
        <w:t>(</w:t>
      </w:r>
      <w:r w:rsidRPr="00E01051">
        <w:rPr>
          <w:rFonts w:ascii="Segoe UI" w:hAnsi="Segoe UI" w:cs="Segoe UI"/>
          <w:b/>
          <w:bCs/>
          <w:sz w:val="21"/>
          <w:szCs w:val="21"/>
        </w:rPr>
        <w:t>Published online: 14 February 2019</w:t>
      </w:r>
      <w:r w:rsidR="00D73287">
        <w:rPr>
          <w:rFonts w:ascii="Segoe UI" w:hAnsi="Segoe UI" w:cs="Segoe UI"/>
          <w:b/>
          <w:bCs/>
          <w:sz w:val="21"/>
          <w:szCs w:val="21"/>
        </w:rPr>
        <w:t>)</w:t>
      </w:r>
    </w:p>
    <w:p w14:paraId="5867F931" w14:textId="3FBDF91F" w:rsidR="00CB3BF5" w:rsidRPr="00E01051"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UK stakeholders perceive benefits of universal free school breakfast, including alleviating hunger and improving health outcomes, as well as providing social, behavioural and educational benefits</w:t>
      </w:r>
      <w:r>
        <w:rPr>
          <w:rFonts w:ascii="Segoe UI" w:hAnsi="Segoe UI" w:cs="Segoe UI"/>
          <w:sz w:val="21"/>
          <w:szCs w:val="21"/>
        </w:rPr>
        <w:t>.</w:t>
      </w:r>
    </w:p>
    <w:p w14:paraId="27CFB82D" w14:textId="1885F940" w:rsidR="00CB3BF5" w:rsidRPr="00E01051"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 xml:space="preserve">A </w:t>
      </w:r>
      <w:r w:rsidR="00A90A25">
        <w:rPr>
          <w:rFonts w:ascii="Segoe UI" w:hAnsi="Segoe UI" w:cs="Segoe UI"/>
          <w:sz w:val="21"/>
          <w:szCs w:val="21"/>
        </w:rPr>
        <w:t xml:space="preserve">2004 </w:t>
      </w:r>
      <w:r w:rsidRPr="00E01051">
        <w:rPr>
          <w:rFonts w:ascii="Segoe UI" w:hAnsi="Segoe UI" w:cs="Segoe UI"/>
          <w:sz w:val="21"/>
          <w:szCs w:val="21"/>
        </w:rPr>
        <w:t>randomised controlled trial (RCT) of UK school breakfast provision reported that post-intervention, participating children demonstrated significantly improved concentration, skipped fewer classes and ate fruit for breakfast more when compared to control children</w:t>
      </w:r>
      <w:r>
        <w:rPr>
          <w:rFonts w:ascii="Segoe UI" w:hAnsi="Segoe UI" w:cs="Segoe UI"/>
          <w:sz w:val="21"/>
          <w:szCs w:val="21"/>
        </w:rPr>
        <w:t>.</w:t>
      </w:r>
      <w:r w:rsidR="00A90A25">
        <w:rPr>
          <w:rStyle w:val="EndnoteReference"/>
          <w:rFonts w:ascii="Segoe UI" w:hAnsi="Segoe UI" w:cs="Segoe UI"/>
          <w:sz w:val="21"/>
          <w:szCs w:val="21"/>
        </w:rPr>
        <w:endnoteReference w:id="8"/>
      </w:r>
      <w:r w:rsidRPr="00E01051">
        <w:rPr>
          <w:rFonts w:ascii="Segoe UI" w:hAnsi="Segoe UI" w:cs="Segoe UI"/>
          <w:b/>
          <w:bCs/>
          <w:sz w:val="21"/>
          <w:szCs w:val="21"/>
        </w:rPr>
        <w:t xml:space="preserve"> </w:t>
      </w:r>
    </w:p>
    <w:p w14:paraId="66D954FC" w14:textId="77777777" w:rsidR="00CB3BF5" w:rsidRPr="00E01051" w:rsidRDefault="00CB3BF5" w:rsidP="00CB3BF5">
      <w:pPr>
        <w:rPr>
          <w:rFonts w:ascii="Segoe UI" w:eastAsia="Times New Roman" w:hAnsi="Segoe UI" w:cs="Segoe UI"/>
          <w:b/>
          <w:bCs/>
          <w:color w:val="000000"/>
          <w:sz w:val="21"/>
          <w:szCs w:val="21"/>
          <w:lang w:eastAsia="en-GB"/>
        </w:rPr>
      </w:pPr>
    </w:p>
    <w:p w14:paraId="60B27896" w14:textId="77777777" w:rsidR="00A90A25" w:rsidRPr="00A90A25" w:rsidRDefault="00A90A25" w:rsidP="00A90A25">
      <w:pPr>
        <w:rPr>
          <w:rFonts w:ascii="Segoe UI" w:hAnsi="Segoe UI" w:cs="Segoe UI"/>
          <w:b/>
          <w:bCs/>
          <w:sz w:val="21"/>
          <w:szCs w:val="21"/>
        </w:rPr>
      </w:pPr>
      <w:r w:rsidRPr="00A90A25">
        <w:rPr>
          <w:rFonts w:ascii="Segoe UI" w:hAnsi="Segoe UI" w:cs="Segoe UI"/>
          <w:b/>
          <w:bCs/>
          <w:sz w:val="21"/>
          <w:szCs w:val="21"/>
        </w:rPr>
        <w:t>A free, universal, before-school breakfast club - Magic Breakfast Club evaluation</w:t>
      </w:r>
    </w:p>
    <w:p w14:paraId="209AE739" w14:textId="284BCB5D" w:rsidR="00A90A25" w:rsidRPr="007C4366" w:rsidRDefault="00A90A25" w:rsidP="007C4366">
      <w:pPr>
        <w:pStyle w:val="ListParagraph"/>
        <w:numPr>
          <w:ilvl w:val="0"/>
          <w:numId w:val="14"/>
        </w:numPr>
        <w:ind w:left="142" w:hanging="142"/>
        <w:rPr>
          <w:rFonts w:ascii="Segoe UI" w:hAnsi="Segoe UI" w:cs="Segoe UI"/>
          <w:sz w:val="21"/>
          <w:szCs w:val="21"/>
        </w:rPr>
      </w:pPr>
      <w:r w:rsidRPr="007C4366">
        <w:rPr>
          <w:rFonts w:ascii="Segoe UI" w:hAnsi="Segoe UI" w:cs="Segoe UI"/>
          <w:sz w:val="21"/>
          <w:szCs w:val="21"/>
        </w:rPr>
        <w:t>The Magic Breakfast project provides schools with support and resources to offer a free, universal, before- school breakfast club</w:t>
      </w:r>
      <w:r w:rsidR="001F7218" w:rsidRPr="007C4366">
        <w:rPr>
          <w:rFonts w:ascii="Segoe UI" w:hAnsi="Segoe UI" w:cs="Segoe UI"/>
          <w:sz w:val="21"/>
          <w:szCs w:val="21"/>
        </w:rPr>
        <w:t xml:space="preserve">. </w:t>
      </w:r>
      <w:r w:rsidR="00364651" w:rsidRPr="007C4366">
        <w:rPr>
          <w:rFonts w:ascii="Segoe UI" w:hAnsi="Segoe UI" w:cs="Segoe UI"/>
          <w:sz w:val="21"/>
          <w:szCs w:val="21"/>
        </w:rPr>
        <w:t>Offering schools support to establish a free, universal breakfast club boosts attainment at Key Stage 1 by around two months' expected progress</w:t>
      </w:r>
      <w:r w:rsidR="00E5629F">
        <w:rPr>
          <w:rFonts w:ascii="Segoe UI" w:hAnsi="Segoe UI" w:cs="Segoe UI"/>
          <w:sz w:val="21"/>
          <w:szCs w:val="21"/>
        </w:rPr>
        <w:t>.</w:t>
      </w:r>
      <w:r w:rsidR="00364651" w:rsidRPr="007C4366">
        <w:rPr>
          <w:rFonts w:ascii="Segoe UI" w:hAnsi="Segoe UI" w:cs="Segoe UI"/>
          <w:sz w:val="21"/>
          <w:szCs w:val="21"/>
        </w:rPr>
        <w:t xml:space="preserve"> There was no statistical impact at Key Stage 2 (Year 6 pupils). </w:t>
      </w:r>
    </w:p>
    <w:p w14:paraId="56B9D61E" w14:textId="19AF47B9" w:rsidR="00A90A25" w:rsidRPr="007C4366" w:rsidRDefault="00364651" w:rsidP="007C4366">
      <w:pPr>
        <w:pStyle w:val="ListParagraph"/>
        <w:numPr>
          <w:ilvl w:val="0"/>
          <w:numId w:val="14"/>
        </w:numPr>
        <w:ind w:left="142" w:hanging="142"/>
        <w:rPr>
          <w:rFonts w:ascii="Segoe UI" w:hAnsi="Segoe UI" w:cs="Segoe UI"/>
          <w:sz w:val="21"/>
          <w:szCs w:val="21"/>
        </w:rPr>
      </w:pPr>
      <w:r w:rsidRPr="007C4366">
        <w:rPr>
          <w:rFonts w:ascii="Segoe UI" w:hAnsi="Segoe UI" w:cs="Segoe UI"/>
          <w:sz w:val="21"/>
          <w:szCs w:val="21"/>
        </w:rPr>
        <w:t xml:space="preserve">Key factors for successful implementation of the breakfast clubs were (a) communication with parents to encourage take-up, (b) an established school breakfast routine, and (c) a well-functioning delivery team supported by the wider school. The main challenges were compensating staff for additional hours of work and balancing the supply of, and demand for, food. In some schools, barriers to take-up included earlier start times for pupils, breakfast charges, and a lack of ongoing promotion from the school. </w:t>
      </w:r>
    </w:p>
    <w:p w14:paraId="69F43041" w14:textId="520DBA93" w:rsidR="00364651" w:rsidRPr="007C4366" w:rsidRDefault="00364651" w:rsidP="007C4366">
      <w:pPr>
        <w:pStyle w:val="ListParagraph"/>
        <w:numPr>
          <w:ilvl w:val="0"/>
          <w:numId w:val="14"/>
        </w:numPr>
        <w:ind w:left="142" w:hanging="142"/>
        <w:rPr>
          <w:rFonts w:ascii="Segoe UI" w:hAnsi="Segoe UI" w:cs="Segoe UI"/>
          <w:sz w:val="21"/>
          <w:szCs w:val="21"/>
        </w:rPr>
      </w:pPr>
      <w:r w:rsidRPr="007C4366">
        <w:rPr>
          <w:rFonts w:ascii="Segoe UI" w:hAnsi="Segoe UI" w:cs="Segoe UI"/>
          <w:sz w:val="21"/>
          <w:szCs w:val="21"/>
        </w:rPr>
        <w:t>Pupil behaviour, as measured by a teacher survey, improved in breakfast club schools. This is interesting because it shows that breakfast clubs may improve outcomes for children who do not even attend breakfast club by improving classroom environments. This key conclusion is unchanged from the original report. Activities thought to increase take-up of the breakfast provision included promoting it to parents and encouraging all children to attend while sensitively targeting pupils most likely to benefit</w:t>
      </w:r>
      <w:r w:rsidR="00D73287">
        <w:rPr>
          <w:rFonts w:ascii="Segoe UI" w:hAnsi="Segoe UI" w:cs="Segoe UI"/>
          <w:sz w:val="21"/>
          <w:szCs w:val="21"/>
        </w:rPr>
        <w:t>.</w:t>
      </w:r>
    </w:p>
    <w:p w14:paraId="67FA9673" w14:textId="77777777" w:rsidR="00364651" w:rsidRPr="00364651" w:rsidRDefault="00364651" w:rsidP="00364651">
      <w:pPr>
        <w:pStyle w:val="ListParagraph"/>
        <w:rPr>
          <w:rFonts w:ascii="Segoe UI" w:eastAsia="Times New Roman" w:hAnsi="Segoe UI" w:cs="Segoe UI"/>
          <w:color w:val="000000"/>
          <w:sz w:val="21"/>
          <w:szCs w:val="21"/>
          <w:lang w:eastAsia="en-GB"/>
        </w:rPr>
      </w:pPr>
    </w:p>
    <w:p w14:paraId="5DABDCD9" w14:textId="6707979B" w:rsidR="00D73287" w:rsidRDefault="00D73287" w:rsidP="00D73287">
      <w:pPr>
        <w:rPr>
          <w:rFonts w:ascii="Segoe UI" w:hAnsi="Segoe UI" w:cs="Segoe UI"/>
          <w:b/>
          <w:bCs/>
          <w:sz w:val="21"/>
          <w:szCs w:val="21"/>
        </w:rPr>
      </w:pPr>
      <w:r>
        <w:rPr>
          <w:rFonts w:ascii="Segoe UI" w:hAnsi="Segoe UI" w:cs="Segoe UI"/>
          <w:b/>
          <w:bCs/>
          <w:sz w:val="21"/>
          <w:szCs w:val="21"/>
        </w:rPr>
        <w:t>The Holiday Activity and Food Programme (HAF) was a national programme</w:t>
      </w:r>
    </w:p>
    <w:p w14:paraId="254456D0" w14:textId="29500361" w:rsidR="00D73287" w:rsidRPr="00BB0A8F" w:rsidRDefault="00D73287" w:rsidP="00D73287">
      <w:pPr>
        <w:pStyle w:val="ListParagraph"/>
        <w:numPr>
          <w:ilvl w:val="0"/>
          <w:numId w:val="14"/>
        </w:numPr>
        <w:ind w:left="142" w:hanging="142"/>
        <w:rPr>
          <w:rFonts w:ascii="Segoe UI" w:hAnsi="Segoe UI" w:cs="Segoe UI"/>
          <w:sz w:val="21"/>
          <w:szCs w:val="21"/>
        </w:rPr>
      </w:pPr>
      <w:r w:rsidRPr="00BB0A8F">
        <w:rPr>
          <w:rFonts w:ascii="Segoe UI" w:hAnsi="Segoe UI" w:cs="Segoe UI"/>
          <w:sz w:val="21"/>
          <w:szCs w:val="21"/>
        </w:rPr>
        <w:t>HAF 2021 was delivered at considerably greater scale than previous HAF programmes, with funding totalling £220 million available to all 151 local authorities in England to run clubs in the spring, summer and winter holiday</w:t>
      </w:r>
      <w:r>
        <w:rPr>
          <w:rFonts w:ascii="Segoe UI" w:hAnsi="Segoe UI" w:cs="Segoe UI"/>
          <w:sz w:val="21"/>
          <w:szCs w:val="21"/>
        </w:rPr>
        <w:t>s.</w:t>
      </w:r>
    </w:p>
    <w:p w14:paraId="0934DC39" w14:textId="77777777" w:rsidR="00D73287" w:rsidRDefault="00D73287" w:rsidP="00D73287">
      <w:pPr>
        <w:pStyle w:val="ListParagraph"/>
        <w:numPr>
          <w:ilvl w:val="0"/>
          <w:numId w:val="14"/>
        </w:numPr>
        <w:ind w:left="142" w:hanging="142"/>
        <w:rPr>
          <w:rFonts w:ascii="Segoe UI" w:hAnsi="Segoe UI" w:cs="Segoe UI"/>
          <w:sz w:val="21"/>
          <w:szCs w:val="21"/>
        </w:rPr>
      </w:pPr>
      <w:r w:rsidRPr="00BB0A8F">
        <w:rPr>
          <w:rFonts w:ascii="Segoe UI" w:hAnsi="Segoe UI" w:cs="Segoe UI"/>
          <w:sz w:val="21"/>
          <w:szCs w:val="21"/>
        </w:rPr>
        <w:t>A range of positive outcomes were reported, including</w:t>
      </w:r>
      <w:r>
        <w:rPr>
          <w:rFonts w:ascii="Segoe UI" w:hAnsi="Segoe UI" w:cs="Segoe UI"/>
          <w:sz w:val="21"/>
          <w:szCs w:val="21"/>
        </w:rPr>
        <w:t>:</w:t>
      </w:r>
    </w:p>
    <w:p w14:paraId="0BBF3E6F" w14:textId="77777777" w:rsidR="00D73287" w:rsidRDefault="00D73287" w:rsidP="00D73287">
      <w:pPr>
        <w:pStyle w:val="ListParagraph"/>
        <w:numPr>
          <w:ilvl w:val="1"/>
          <w:numId w:val="14"/>
        </w:numPr>
        <w:rPr>
          <w:rFonts w:ascii="Segoe UI" w:hAnsi="Segoe UI" w:cs="Segoe UI"/>
          <w:sz w:val="21"/>
          <w:szCs w:val="21"/>
        </w:rPr>
      </w:pPr>
      <w:r w:rsidRPr="00BB0A8F">
        <w:rPr>
          <w:rFonts w:ascii="Segoe UI" w:hAnsi="Segoe UI" w:cs="Segoe UI"/>
          <w:sz w:val="21"/>
          <w:szCs w:val="21"/>
        </w:rPr>
        <w:t>improved and increased food intake</w:t>
      </w:r>
    </w:p>
    <w:p w14:paraId="73A42752" w14:textId="77777777" w:rsidR="00D73287" w:rsidRDefault="00D73287" w:rsidP="00D73287">
      <w:pPr>
        <w:pStyle w:val="ListParagraph"/>
        <w:numPr>
          <w:ilvl w:val="1"/>
          <w:numId w:val="14"/>
        </w:numPr>
        <w:rPr>
          <w:rFonts w:ascii="Segoe UI" w:hAnsi="Segoe UI" w:cs="Segoe UI"/>
          <w:sz w:val="21"/>
          <w:szCs w:val="21"/>
        </w:rPr>
      </w:pPr>
      <w:r w:rsidRPr="00BB0A8F">
        <w:rPr>
          <w:rFonts w:ascii="Segoe UI" w:hAnsi="Segoe UI" w:cs="Segoe UI"/>
          <w:sz w:val="21"/>
          <w:szCs w:val="21"/>
        </w:rPr>
        <w:t>physical activity levels</w:t>
      </w:r>
    </w:p>
    <w:p w14:paraId="221A3792" w14:textId="77777777" w:rsidR="00D73287" w:rsidRDefault="00D73287" w:rsidP="00D73287">
      <w:pPr>
        <w:pStyle w:val="ListParagraph"/>
        <w:numPr>
          <w:ilvl w:val="1"/>
          <w:numId w:val="14"/>
        </w:numPr>
        <w:rPr>
          <w:rFonts w:ascii="Segoe UI" w:hAnsi="Segoe UI" w:cs="Segoe UI"/>
          <w:sz w:val="21"/>
          <w:szCs w:val="21"/>
        </w:rPr>
      </w:pPr>
      <w:r w:rsidRPr="00BB0A8F">
        <w:rPr>
          <w:rFonts w:ascii="Segoe UI" w:hAnsi="Segoe UI" w:cs="Segoe UI"/>
          <w:sz w:val="21"/>
          <w:szCs w:val="21"/>
        </w:rPr>
        <w:t>social and wellbeing outcomes</w:t>
      </w:r>
    </w:p>
    <w:p w14:paraId="0A40595E" w14:textId="77777777" w:rsidR="00D73287" w:rsidRDefault="00D73287" w:rsidP="00D73287">
      <w:pPr>
        <w:pStyle w:val="ListParagraph"/>
        <w:numPr>
          <w:ilvl w:val="1"/>
          <w:numId w:val="14"/>
        </w:numPr>
        <w:rPr>
          <w:rFonts w:ascii="Segoe UI" w:hAnsi="Segoe UI" w:cs="Segoe UI"/>
          <w:sz w:val="21"/>
          <w:szCs w:val="21"/>
        </w:rPr>
      </w:pPr>
      <w:r w:rsidRPr="00BB0A8F">
        <w:rPr>
          <w:rFonts w:ascii="Segoe UI" w:hAnsi="Segoe UI" w:cs="Segoe UI"/>
          <w:sz w:val="21"/>
          <w:szCs w:val="21"/>
        </w:rPr>
        <w:t>increased engagement</w:t>
      </w:r>
      <w:r>
        <w:rPr>
          <w:rFonts w:ascii="Segoe UI" w:hAnsi="Segoe UI" w:cs="Segoe UI"/>
          <w:sz w:val="21"/>
          <w:szCs w:val="21"/>
        </w:rPr>
        <w:t>;</w:t>
      </w:r>
      <w:r w:rsidRPr="00BB0A8F">
        <w:rPr>
          <w:rFonts w:ascii="Segoe UI" w:hAnsi="Segoe UI" w:cs="Segoe UI"/>
          <w:sz w:val="21"/>
          <w:szCs w:val="21"/>
        </w:rPr>
        <w:t xml:space="preserve"> and </w:t>
      </w:r>
    </w:p>
    <w:p w14:paraId="49C32535" w14:textId="44B5B728" w:rsidR="00D73287" w:rsidRPr="00BB0A8F" w:rsidRDefault="00D73287" w:rsidP="00D73287">
      <w:pPr>
        <w:pStyle w:val="ListParagraph"/>
        <w:numPr>
          <w:ilvl w:val="1"/>
          <w:numId w:val="14"/>
        </w:numPr>
        <w:rPr>
          <w:rFonts w:ascii="Segoe UI" w:hAnsi="Segoe UI" w:cs="Segoe UI"/>
          <w:sz w:val="21"/>
          <w:szCs w:val="21"/>
        </w:rPr>
      </w:pPr>
      <w:r w:rsidRPr="00BB0A8F">
        <w:rPr>
          <w:rFonts w:ascii="Segoe UI" w:hAnsi="Segoe UI" w:cs="Segoe UI"/>
          <w:sz w:val="21"/>
          <w:szCs w:val="21"/>
        </w:rPr>
        <w:t>willingness to try new things.</w:t>
      </w:r>
    </w:p>
    <w:p w14:paraId="5E772C35" w14:textId="763D6BAA" w:rsidR="00D73287" w:rsidRDefault="00D73287" w:rsidP="00D73287">
      <w:pPr>
        <w:pStyle w:val="ListParagraph"/>
        <w:numPr>
          <w:ilvl w:val="0"/>
          <w:numId w:val="14"/>
        </w:numPr>
        <w:ind w:left="142" w:hanging="142"/>
        <w:rPr>
          <w:rFonts w:ascii="Segoe UI" w:hAnsi="Segoe UI" w:cs="Segoe UI"/>
          <w:sz w:val="21"/>
          <w:szCs w:val="21"/>
        </w:rPr>
      </w:pPr>
      <w:r w:rsidRPr="00BB0A8F">
        <w:rPr>
          <w:rFonts w:ascii="Segoe UI" w:hAnsi="Segoe UI" w:cs="Segoe UI"/>
          <w:sz w:val="21"/>
          <w:szCs w:val="21"/>
        </w:rPr>
        <w:t>Seeking to raise nutrition levels proved complicated to achieve and evidence at scale.</w:t>
      </w:r>
      <w:r>
        <w:rPr>
          <w:rFonts w:ascii="Segoe UI" w:hAnsi="Segoe UI" w:cs="Segoe UI"/>
          <w:sz w:val="21"/>
          <w:szCs w:val="21"/>
        </w:rPr>
        <w:t xml:space="preserve"> </w:t>
      </w:r>
      <w:r w:rsidRPr="00BB0A8F">
        <w:rPr>
          <w:rFonts w:ascii="Segoe UI" w:hAnsi="Segoe UI" w:cs="Segoe UI"/>
          <w:sz w:val="21"/>
          <w:szCs w:val="21"/>
        </w:rPr>
        <w:t>The results show a complex picture. At the simplest level, children believed they ha</w:t>
      </w:r>
      <w:r>
        <w:rPr>
          <w:rFonts w:ascii="Segoe UI" w:hAnsi="Segoe UI" w:cs="Segoe UI"/>
          <w:sz w:val="21"/>
          <w:szCs w:val="21"/>
        </w:rPr>
        <w:t>d</w:t>
      </w:r>
      <w:r w:rsidRPr="00BB0A8F">
        <w:rPr>
          <w:rFonts w:ascii="Segoe UI" w:hAnsi="Segoe UI" w:cs="Segoe UI"/>
          <w:sz w:val="21"/>
          <w:szCs w:val="21"/>
        </w:rPr>
        <w:t xml:space="preserve"> healthier lunches on club days, but parents/carers reported that their children both ate less healthy types of food and less unhealthy types of food when attending HAF. The discrepancy between child and parental findings clearly raises questions about how much the parents knew about the reality of food available at the holiday club (recall), their knowledge about ‘healthy food</w:t>
      </w:r>
      <w:r w:rsidR="001F7218" w:rsidRPr="00BB0A8F">
        <w:rPr>
          <w:rFonts w:ascii="Segoe UI" w:hAnsi="Segoe UI" w:cs="Segoe UI"/>
          <w:sz w:val="21"/>
          <w:szCs w:val="21"/>
        </w:rPr>
        <w:t>,’</w:t>
      </w:r>
      <w:r w:rsidRPr="00BB0A8F">
        <w:rPr>
          <w:rFonts w:ascii="Segoe UI" w:hAnsi="Segoe UI" w:cs="Segoe UI"/>
          <w:sz w:val="21"/>
          <w:szCs w:val="21"/>
        </w:rPr>
        <w:t xml:space="preserve"> and the potential bias in reporting the food consumed by their child at home on days they were not attending the club.</w:t>
      </w:r>
    </w:p>
    <w:p w14:paraId="0468C2E7" w14:textId="77777777" w:rsidR="00D73287" w:rsidRDefault="00D73287" w:rsidP="00CB3BF5">
      <w:pPr>
        <w:rPr>
          <w:rFonts w:ascii="Segoe UI" w:eastAsia="Times New Roman" w:hAnsi="Segoe UI" w:cs="Segoe UI"/>
          <w:b/>
          <w:bCs/>
          <w:color w:val="000000"/>
          <w:sz w:val="21"/>
          <w:szCs w:val="21"/>
          <w:lang w:eastAsia="en-GB"/>
        </w:rPr>
      </w:pPr>
    </w:p>
    <w:p w14:paraId="0AA7AC11" w14:textId="77777777" w:rsidR="00D73287" w:rsidRDefault="00D73287" w:rsidP="00CB3BF5">
      <w:pPr>
        <w:rPr>
          <w:rFonts w:ascii="Segoe UI" w:eastAsia="Times New Roman" w:hAnsi="Segoe UI" w:cs="Segoe UI"/>
          <w:b/>
          <w:bCs/>
          <w:color w:val="000000"/>
          <w:sz w:val="21"/>
          <w:szCs w:val="21"/>
          <w:lang w:eastAsia="en-GB"/>
        </w:rPr>
      </w:pPr>
    </w:p>
    <w:p w14:paraId="3A9E420E" w14:textId="20484FAE" w:rsidR="00CB3BF5" w:rsidRPr="00E01051" w:rsidRDefault="00CB3BF5" w:rsidP="00CB3BF5">
      <w:pPr>
        <w:rPr>
          <w:rFonts w:ascii="Segoe UI" w:eastAsia="Times New Roman" w:hAnsi="Segoe UI" w:cs="Segoe UI"/>
          <w:b/>
          <w:bCs/>
          <w:color w:val="000000"/>
          <w:sz w:val="21"/>
          <w:szCs w:val="21"/>
          <w:lang w:eastAsia="en-GB"/>
        </w:rPr>
      </w:pPr>
      <w:r w:rsidRPr="00E01051">
        <w:rPr>
          <w:rFonts w:ascii="Segoe UI" w:eastAsia="Times New Roman" w:hAnsi="Segoe UI" w:cs="Segoe UI"/>
          <w:b/>
          <w:bCs/>
          <w:color w:val="000000"/>
          <w:sz w:val="21"/>
          <w:szCs w:val="21"/>
          <w:lang w:eastAsia="en-GB"/>
        </w:rPr>
        <w:lastRenderedPageBreak/>
        <w:t>Evaluation of the Holiday Activities and Food Programme: A Yorkshire-based review of the implementation and impact of the Holiday Activities and Food programme</w:t>
      </w:r>
      <w:r w:rsidR="00D73287">
        <w:rPr>
          <w:rFonts w:ascii="Segoe UI" w:eastAsia="Times New Roman" w:hAnsi="Segoe UI" w:cs="Segoe UI"/>
          <w:b/>
          <w:bCs/>
          <w:color w:val="000000"/>
          <w:sz w:val="21"/>
          <w:szCs w:val="21"/>
          <w:lang w:eastAsia="en-GB"/>
        </w:rPr>
        <w:t xml:space="preserve"> (</w:t>
      </w:r>
      <w:r w:rsidRPr="00E01051">
        <w:rPr>
          <w:rFonts w:ascii="Segoe UI" w:eastAsia="Times New Roman" w:hAnsi="Segoe UI" w:cs="Segoe UI"/>
          <w:b/>
          <w:bCs/>
          <w:color w:val="000000"/>
          <w:sz w:val="21"/>
          <w:szCs w:val="21"/>
          <w:lang w:eastAsia="en-GB"/>
        </w:rPr>
        <w:t>2021</w:t>
      </w:r>
      <w:r w:rsidR="00D73287">
        <w:rPr>
          <w:rFonts w:ascii="Segoe UI" w:eastAsia="Times New Roman" w:hAnsi="Segoe UI" w:cs="Segoe UI"/>
          <w:b/>
          <w:bCs/>
          <w:color w:val="000000"/>
          <w:sz w:val="21"/>
          <w:szCs w:val="21"/>
          <w:lang w:eastAsia="en-GB"/>
        </w:rPr>
        <w:t>)</w:t>
      </w:r>
    </w:p>
    <w:p w14:paraId="6458EC40" w14:textId="68D5F9D1" w:rsidR="00CB3BF5" w:rsidRPr="00E01051"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There was equality of opportunity for children to access opportunities. Children who were eligible for F</w:t>
      </w:r>
      <w:r>
        <w:rPr>
          <w:rFonts w:ascii="Segoe UI" w:hAnsi="Segoe UI" w:cs="Segoe UI"/>
          <w:sz w:val="21"/>
          <w:szCs w:val="21"/>
        </w:rPr>
        <w:t xml:space="preserve">ree </w:t>
      </w:r>
      <w:r w:rsidRPr="00E01051">
        <w:rPr>
          <w:rFonts w:ascii="Segoe UI" w:hAnsi="Segoe UI" w:cs="Segoe UI"/>
          <w:sz w:val="21"/>
          <w:szCs w:val="21"/>
        </w:rPr>
        <w:t>S</w:t>
      </w:r>
      <w:r>
        <w:rPr>
          <w:rFonts w:ascii="Segoe UI" w:hAnsi="Segoe UI" w:cs="Segoe UI"/>
          <w:sz w:val="21"/>
          <w:szCs w:val="21"/>
        </w:rPr>
        <w:t xml:space="preserve">chool </w:t>
      </w:r>
      <w:r w:rsidRPr="00E01051">
        <w:rPr>
          <w:rFonts w:ascii="Segoe UI" w:hAnsi="Segoe UI" w:cs="Segoe UI"/>
          <w:sz w:val="21"/>
          <w:szCs w:val="21"/>
        </w:rPr>
        <w:t>M</w:t>
      </w:r>
      <w:r>
        <w:rPr>
          <w:rFonts w:ascii="Segoe UI" w:hAnsi="Segoe UI" w:cs="Segoe UI"/>
          <w:sz w:val="21"/>
          <w:szCs w:val="21"/>
        </w:rPr>
        <w:t>eal</w:t>
      </w:r>
      <w:r w:rsidRPr="00E01051">
        <w:rPr>
          <w:rFonts w:ascii="Segoe UI" w:hAnsi="Segoe UI" w:cs="Segoe UI"/>
          <w:sz w:val="21"/>
          <w:szCs w:val="21"/>
        </w:rPr>
        <w:t>s</w:t>
      </w:r>
      <w:r>
        <w:rPr>
          <w:rFonts w:ascii="Segoe UI" w:hAnsi="Segoe UI" w:cs="Segoe UI"/>
          <w:sz w:val="21"/>
          <w:szCs w:val="21"/>
        </w:rPr>
        <w:t xml:space="preserve"> (FSMs) </w:t>
      </w:r>
      <w:r w:rsidRPr="00E01051">
        <w:rPr>
          <w:rFonts w:ascii="Segoe UI" w:hAnsi="Segoe UI" w:cs="Segoe UI"/>
          <w:sz w:val="21"/>
          <w:szCs w:val="21"/>
        </w:rPr>
        <w:t>attended the programmes alongside children who paid for their places, at the discretion of the provider. Once children were participating in the programme, there was no indication that children were aware of who was attending with a free place or a paid place. Children had lots of opportunities to socialise and make friends with other children both from their own school and others. This was particularly important after a period of much reduced socialisation due to Covid restrictions</w:t>
      </w:r>
      <w:r>
        <w:rPr>
          <w:rFonts w:ascii="Segoe UI" w:hAnsi="Segoe UI" w:cs="Segoe UI"/>
          <w:sz w:val="21"/>
          <w:szCs w:val="21"/>
        </w:rPr>
        <w:t>.</w:t>
      </w:r>
    </w:p>
    <w:p w14:paraId="426C32EF" w14:textId="2DB86169" w:rsidR="00CB3BF5" w:rsidRPr="00E01051" w:rsidRDefault="00CB3BF5" w:rsidP="00CB3BF5">
      <w:pPr>
        <w:pStyle w:val="ListParagraph"/>
        <w:numPr>
          <w:ilvl w:val="0"/>
          <w:numId w:val="14"/>
        </w:numPr>
        <w:ind w:left="142" w:hanging="142"/>
        <w:rPr>
          <w:rFonts w:ascii="Segoe UI" w:eastAsia="Times New Roman" w:hAnsi="Segoe UI" w:cs="Segoe UI"/>
          <w:b/>
          <w:bCs/>
          <w:color w:val="000000"/>
          <w:sz w:val="21"/>
          <w:szCs w:val="21"/>
          <w:lang w:eastAsia="en-GB"/>
        </w:rPr>
      </w:pPr>
      <w:r w:rsidRPr="00E01051">
        <w:rPr>
          <w:rFonts w:ascii="Segoe UI" w:hAnsi="Segoe UI" w:cs="Segoe UI"/>
          <w:sz w:val="21"/>
          <w:szCs w:val="21"/>
        </w:rPr>
        <w:t>Attending a holiday club meant that if children were from households experiencing food insecurity, they were guaranteed a full, nutritious meal that day</w:t>
      </w:r>
      <w:r>
        <w:rPr>
          <w:rFonts w:ascii="Segoe UI" w:hAnsi="Segoe UI" w:cs="Segoe UI"/>
          <w:sz w:val="21"/>
          <w:szCs w:val="21"/>
        </w:rPr>
        <w:t>.</w:t>
      </w:r>
    </w:p>
    <w:p w14:paraId="13326BBB" w14:textId="77777777" w:rsidR="00A90A25" w:rsidRDefault="00A90A25" w:rsidP="00CB3BF5">
      <w:pPr>
        <w:rPr>
          <w:rFonts w:ascii="Segoe UI" w:eastAsia="Times New Roman" w:hAnsi="Segoe UI" w:cs="Segoe UI"/>
          <w:b/>
          <w:bCs/>
          <w:color w:val="000000"/>
          <w:sz w:val="21"/>
          <w:szCs w:val="21"/>
          <w:lang w:eastAsia="en-GB"/>
        </w:rPr>
      </w:pPr>
    </w:p>
    <w:p w14:paraId="0AAB3268" w14:textId="77777777" w:rsidR="00CB3BF5" w:rsidRPr="00E01051" w:rsidRDefault="00CB3BF5" w:rsidP="00CB3BF5">
      <w:pPr>
        <w:rPr>
          <w:rFonts w:ascii="Segoe UI" w:eastAsia="Times New Roman" w:hAnsi="Segoe UI" w:cs="Segoe UI"/>
          <w:b/>
          <w:bCs/>
          <w:color w:val="000000"/>
          <w:sz w:val="21"/>
          <w:szCs w:val="21"/>
          <w:lang w:eastAsia="en-GB"/>
        </w:rPr>
      </w:pPr>
      <w:r w:rsidRPr="00E01051">
        <w:rPr>
          <w:rFonts w:ascii="Segoe UI" w:eastAsia="Times New Roman" w:hAnsi="Segoe UI" w:cs="Segoe UI"/>
          <w:b/>
          <w:bCs/>
          <w:color w:val="000000"/>
          <w:sz w:val="21"/>
          <w:szCs w:val="21"/>
          <w:lang w:eastAsia="en-GB"/>
        </w:rPr>
        <w:t>Working in collaboration - Leeds Food Insecurity Taskforce</w:t>
      </w:r>
    </w:p>
    <w:p w14:paraId="64B984DD" w14:textId="735CA9B0" w:rsidR="00CB3BF5" w:rsidRPr="00E01051"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As part of the pandemic response (March - September 2020) an estimated 64,000 food bags (equivalent 34,000 food parcels) were distributed from the food warehouse</w:t>
      </w:r>
      <w:r w:rsidR="00D73287">
        <w:rPr>
          <w:rFonts w:ascii="Segoe UI" w:hAnsi="Segoe UI" w:cs="Segoe UI"/>
          <w:sz w:val="21"/>
          <w:szCs w:val="21"/>
        </w:rPr>
        <w:t xml:space="preserve"> including b</w:t>
      </w:r>
      <w:r w:rsidRPr="00E01051">
        <w:rPr>
          <w:rFonts w:ascii="Segoe UI" w:hAnsi="Segoe UI" w:cs="Segoe UI"/>
          <w:sz w:val="21"/>
          <w:szCs w:val="21"/>
        </w:rPr>
        <w:t>reakfast and lunch bags for up to 230 homeless people daily (over 68,000 meals)</w:t>
      </w:r>
    </w:p>
    <w:p w14:paraId="79CB06B6" w14:textId="64C53CB7" w:rsidR="00CB3BF5"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Catering Leeds also worked with schools to provide a total of 95,826 daily grab bags and 170,910 daily hampers (34,182 weekly hampers).</w:t>
      </w:r>
    </w:p>
    <w:p w14:paraId="7DB724AC" w14:textId="3B2B7B7A" w:rsidR="00D73287" w:rsidRDefault="00D73287" w:rsidP="00CB3BF5">
      <w:pPr>
        <w:pStyle w:val="ListParagraph"/>
        <w:numPr>
          <w:ilvl w:val="0"/>
          <w:numId w:val="14"/>
        </w:numPr>
        <w:ind w:left="142" w:hanging="142"/>
        <w:rPr>
          <w:rFonts w:ascii="Segoe UI" w:hAnsi="Segoe UI" w:cs="Segoe UI"/>
          <w:sz w:val="21"/>
          <w:szCs w:val="21"/>
        </w:rPr>
      </w:pPr>
      <w:r>
        <w:rPr>
          <w:rFonts w:ascii="Segoe UI" w:hAnsi="Segoe UI" w:cs="Segoe UI"/>
          <w:sz w:val="21"/>
          <w:szCs w:val="21"/>
        </w:rPr>
        <w:t>There was no evidence relating to the efficacy of food nutrition available.</w:t>
      </w:r>
    </w:p>
    <w:p w14:paraId="24EB4DFE" w14:textId="42A6ED60" w:rsidR="00CB3BF5" w:rsidRPr="00E01051" w:rsidRDefault="00CB3BF5" w:rsidP="00CB3BF5">
      <w:pPr>
        <w:rPr>
          <w:rFonts w:ascii="Segoe UI" w:hAnsi="Segoe UI" w:cs="Segoe UI"/>
          <w:sz w:val="21"/>
          <w:szCs w:val="21"/>
        </w:rPr>
      </w:pPr>
    </w:p>
    <w:p w14:paraId="69C1183E" w14:textId="6D9E8623" w:rsidR="00364651" w:rsidRDefault="00364651" w:rsidP="00364651">
      <w:pPr>
        <w:rPr>
          <w:rFonts w:ascii="Segoe UI" w:hAnsi="Segoe UI" w:cs="Segoe UI"/>
          <w:b/>
          <w:bCs/>
          <w:sz w:val="21"/>
          <w:szCs w:val="21"/>
        </w:rPr>
      </w:pPr>
      <w:r w:rsidRPr="00F71E88">
        <w:rPr>
          <w:rFonts w:ascii="Segoe UI" w:hAnsi="Segoe UI" w:cs="Segoe UI"/>
          <w:b/>
          <w:bCs/>
          <w:sz w:val="21"/>
          <w:szCs w:val="21"/>
        </w:rPr>
        <w:t xml:space="preserve">StreetGames Fit and Fed Wales report </w:t>
      </w:r>
      <w:r w:rsidR="00D73287">
        <w:rPr>
          <w:rFonts w:ascii="Segoe UI" w:hAnsi="Segoe UI" w:cs="Segoe UI"/>
          <w:b/>
          <w:bCs/>
          <w:sz w:val="21"/>
          <w:szCs w:val="21"/>
        </w:rPr>
        <w:t>(</w:t>
      </w:r>
      <w:r w:rsidRPr="00F71E88">
        <w:rPr>
          <w:rFonts w:ascii="Segoe UI" w:hAnsi="Segoe UI" w:cs="Segoe UI"/>
          <w:b/>
          <w:bCs/>
          <w:sz w:val="21"/>
          <w:szCs w:val="21"/>
        </w:rPr>
        <w:t>2021 unpublished</w:t>
      </w:r>
      <w:r w:rsidR="00D73287">
        <w:rPr>
          <w:rFonts w:ascii="Segoe UI" w:hAnsi="Segoe UI" w:cs="Segoe UI"/>
          <w:b/>
          <w:bCs/>
          <w:sz w:val="21"/>
          <w:szCs w:val="21"/>
        </w:rPr>
        <w:t>)</w:t>
      </w:r>
    </w:p>
    <w:p w14:paraId="7D885298" w14:textId="37366313" w:rsidR="001F7218" w:rsidRPr="00F71E88" w:rsidRDefault="001F7218" w:rsidP="00364651">
      <w:pPr>
        <w:rPr>
          <w:rFonts w:ascii="Segoe UI" w:hAnsi="Segoe UI" w:cs="Segoe UI"/>
          <w:b/>
          <w:bCs/>
          <w:sz w:val="21"/>
          <w:szCs w:val="21"/>
        </w:rPr>
      </w:pPr>
    </w:p>
    <w:p w14:paraId="734ECEEC" w14:textId="05FAFEFA" w:rsidR="00364651" w:rsidRPr="00364651" w:rsidRDefault="00364651" w:rsidP="00364651">
      <w:pPr>
        <w:pStyle w:val="ListParagraph"/>
        <w:numPr>
          <w:ilvl w:val="0"/>
          <w:numId w:val="14"/>
        </w:numPr>
        <w:ind w:left="142" w:hanging="142"/>
        <w:rPr>
          <w:rFonts w:ascii="Segoe UI" w:hAnsi="Segoe UI" w:cs="Segoe UI"/>
          <w:sz w:val="21"/>
          <w:szCs w:val="21"/>
        </w:rPr>
      </w:pPr>
      <w:r w:rsidRPr="00364651">
        <w:rPr>
          <w:rFonts w:ascii="Segoe UI" w:hAnsi="Segoe UI" w:cs="Segoe UI"/>
          <w:sz w:val="21"/>
          <w:szCs w:val="21"/>
        </w:rPr>
        <w:t xml:space="preserve">StreetGames developed the Fit and Fed project to provide free meals to children within disadvantaged community holiday sports clubs across the UK. The programme aims to tackle three main inequalities—holiday hunger, isolation, and inactivity—by providing food alongside the opportunity to participate in sporting activities and physical activity. </w:t>
      </w:r>
    </w:p>
    <w:p w14:paraId="2D24E36C" w14:textId="77777777" w:rsidR="00CB3BF5" w:rsidRPr="00E01051" w:rsidRDefault="00CB3BF5" w:rsidP="00CB3BF5">
      <w:pPr>
        <w:pStyle w:val="ListParagraph"/>
        <w:numPr>
          <w:ilvl w:val="0"/>
          <w:numId w:val="14"/>
        </w:numPr>
        <w:ind w:left="142" w:hanging="142"/>
        <w:rPr>
          <w:rFonts w:ascii="Segoe UI" w:hAnsi="Segoe UI" w:cs="Segoe UI"/>
          <w:sz w:val="21"/>
          <w:szCs w:val="21"/>
        </w:rPr>
      </w:pPr>
      <w:r w:rsidRPr="00E01051">
        <w:rPr>
          <w:rFonts w:ascii="Segoe UI" w:hAnsi="Segoe UI" w:cs="Segoe UI"/>
          <w:sz w:val="21"/>
          <w:szCs w:val="21"/>
        </w:rPr>
        <w:t>93% were more active compared with normal school holiday activity levels</w:t>
      </w:r>
    </w:p>
    <w:p w14:paraId="7B357FC5" w14:textId="758CDBFB" w:rsidR="00CB3BF5" w:rsidRPr="00E01051" w:rsidRDefault="001F7218" w:rsidP="00CB3BF5">
      <w:pPr>
        <w:pStyle w:val="ListParagraph"/>
        <w:numPr>
          <w:ilvl w:val="0"/>
          <w:numId w:val="14"/>
        </w:numPr>
        <w:ind w:left="142" w:hanging="142"/>
        <w:rPr>
          <w:rFonts w:ascii="Segoe UI" w:hAnsi="Segoe UI" w:cs="Segoe UI"/>
          <w:sz w:val="21"/>
          <w:szCs w:val="21"/>
        </w:rPr>
      </w:pPr>
      <w:r w:rsidRPr="00E01051">
        <w:rPr>
          <w:rFonts w:ascii="Segoe UI" w:hAnsi="Segoe UI" w:cs="Segoe UI"/>
          <w:noProof/>
          <w:sz w:val="21"/>
          <w:szCs w:val="21"/>
        </w:rPr>
        <w:drawing>
          <wp:anchor distT="0" distB="0" distL="114300" distR="114300" simplePos="0" relativeHeight="251662336" behindDoc="0" locked="0" layoutInCell="1" allowOverlap="1" wp14:anchorId="46777B61" wp14:editId="038E2717">
            <wp:simplePos x="0" y="0"/>
            <wp:positionH relativeFrom="column">
              <wp:posOffset>2108835</wp:posOffset>
            </wp:positionH>
            <wp:positionV relativeFrom="paragraph">
              <wp:posOffset>525780</wp:posOffset>
            </wp:positionV>
            <wp:extent cx="3696970" cy="2971800"/>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l="19291" t="18919" r="42128" b="25977"/>
                    <a:stretch/>
                  </pic:blipFill>
                  <pic:spPr bwMode="auto">
                    <a:xfrm>
                      <a:off x="0" y="0"/>
                      <a:ext cx="369697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BF5" w:rsidRPr="00E01051">
        <w:rPr>
          <w:rFonts w:ascii="Segoe UI" w:hAnsi="Segoe UI" w:cs="Segoe UI"/>
          <w:sz w:val="21"/>
          <w:szCs w:val="21"/>
        </w:rPr>
        <w:t>Sharing learning, good practice and facilitating conversations between delivery partners is a key tool in connecting with wider offers and ensuring Fit and Fed adds value, rather than spreading delivery thinly and with diminishing quality.</w:t>
      </w:r>
    </w:p>
    <w:p w14:paraId="69DC4A26" w14:textId="77777777" w:rsidR="00CB3BF5" w:rsidRDefault="00CB3BF5" w:rsidP="005232CF">
      <w:pPr>
        <w:rPr>
          <w:rFonts w:ascii="Segoe UI" w:hAnsi="Segoe UI" w:cs="Segoe UI"/>
          <w:b/>
          <w:bCs/>
          <w:sz w:val="21"/>
          <w:szCs w:val="21"/>
        </w:rPr>
      </w:pPr>
    </w:p>
    <w:p w14:paraId="6AAFE389" w14:textId="77777777" w:rsidR="00D73287" w:rsidRDefault="00D73287">
      <w:pPr>
        <w:rPr>
          <w:rFonts w:ascii="Segoe UI" w:hAnsi="Segoe UI" w:cs="Segoe UI"/>
          <w:b/>
          <w:bCs/>
          <w:sz w:val="28"/>
          <w:szCs w:val="28"/>
        </w:rPr>
      </w:pPr>
      <w:r>
        <w:rPr>
          <w:rFonts w:ascii="Segoe UI" w:hAnsi="Segoe UI" w:cs="Segoe UI"/>
          <w:b/>
          <w:bCs/>
          <w:sz w:val="28"/>
          <w:szCs w:val="28"/>
        </w:rPr>
        <w:br w:type="page"/>
      </w:r>
    </w:p>
    <w:p w14:paraId="3DB2AB0C" w14:textId="031C2B25" w:rsidR="00CB3BF5" w:rsidRPr="00364651" w:rsidRDefault="00CB3BF5" w:rsidP="005232CF">
      <w:pPr>
        <w:rPr>
          <w:rFonts w:ascii="Segoe UI" w:hAnsi="Segoe UI" w:cs="Segoe UI"/>
          <w:b/>
          <w:bCs/>
          <w:sz w:val="28"/>
          <w:szCs w:val="28"/>
        </w:rPr>
      </w:pPr>
      <w:r w:rsidRPr="004875C1">
        <w:rPr>
          <w:rFonts w:ascii="Segoe UI" w:hAnsi="Segoe UI" w:cs="Segoe UI"/>
          <w:b/>
          <w:bCs/>
          <w:sz w:val="28"/>
          <w:szCs w:val="28"/>
        </w:rPr>
        <w:lastRenderedPageBreak/>
        <w:t>Outcomes</w:t>
      </w:r>
    </w:p>
    <w:p w14:paraId="38ADA05B" w14:textId="61EF13F7" w:rsidR="00CB3BF5" w:rsidRPr="00E01051" w:rsidRDefault="00CB3BF5" w:rsidP="00CB3BF5">
      <w:pPr>
        <w:rPr>
          <w:rFonts w:ascii="Segoe UI" w:hAnsi="Segoe UI" w:cs="Segoe UI"/>
          <w:sz w:val="21"/>
          <w:szCs w:val="21"/>
        </w:rPr>
      </w:pPr>
      <w:r w:rsidRPr="00E01051">
        <w:rPr>
          <w:rFonts w:ascii="Segoe UI" w:hAnsi="Segoe UI" w:cs="Segoe UI"/>
          <w:sz w:val="21"/>
          <w:szCs w:val="21"/>
        </w:rPr>
        <w:t xml:space="preserve">The outcomes below are derived from the following </w:t>
      </w:r>
      <w:r>
        <w:rPr>
          <w:rFonts w:ascii="Segoe UI" w:hAnsi="Segoe UI" w:cs="Segoe UI"/>
          <w:sz w:val="21"/>
          <w:szCs w:val="21"/>
        </w:rPr>
        <w:t>1</w:t>
      </w:r>
      <w:r w:rsidR="008A07B2">
        <w:rPr>
          <w:rFonts w:ascii="Segoe UI" w:hAnsi="Segoe UI" w:cs="Segoe UI"/>
          <w:sz w:val="21"/>
          <w:szCs w:val="21"/>
        </w:rPr>
        <w:t xml:space="preserve">0 </w:t>
      </w:r>
      <w:r w:rsidRPr="00E01051">
        <w:rPr>
          <w:rFonts w:ascii="Segoe UI" w:hAnsi="Segoe UI" w:cs="Segoe UI"/>
          <w:sz w:val="21"/>
          <w:szCs w:val="21"/>
        </w:rPr>
        <w:t>sources:</w:t>
      </w:r>
    </w:p>
    <w:p w14:paraId="77EDA7FC" w14:textId="77777777" w:rsidR="00CB3BF5" w:rsidRPr="00E01051" w:rsidRDefault="00CB3BF5" w:rsidP="00CB3BF5">
      <w:pPr>
        <w:rPr>
          <w:rFonts w:ascii="Segoe UI" w:hAnsi="Segoe UI" w:cs="Segoe UI"/>
          <w:sz w:val="21"/>
          <w:szCs w:val="21"/>
        </w:rPr>
      </w:pPr>
    </w:p>
    <w:p w14:paraId="25592865"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A Systematic Review of the Evaluation of Interventions to Tackle Children's Food Insecurity Published online: 14 February 2019</w:t>
      </w:r>
    </w:p>
    <w:p w14:paraId="686F7F82"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Evaluation of the Holiday Activities and Food Programme: A Yorkshire-based review of the implementation and impact of the Holiday Activities and Food programme. 2021</w:t>
      </w:r>
    </w:p>
    <w:p w14:paraId="187B8FBF"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Food Cycle Social Impact report. 2021</w:t>
      </w:r>
    </w:p>
    <w:p w14:paraId="57464CFB"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Food Insecurity: A Constant Factor in the Lives of Low-Income Families in Scotland and England. 2021</w:t>
      </w:r>
    </w:p>
    <w:p w14:paraId="3F0414AC" w14:textId="683F492E"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 xml:space="preserve">Food vulnerability during COVID-19. Local responses to household food insecurity across the UK during COVID-19 (September 2020 – September 2021) An analysis of experiences from 14 local areas from around the UK and recommendations for future policy and practice appendix </w:t>
      </w:r>
    </w:p>
    <w:p w14:paraId="1A99DC02"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Going universal - The impact of free school lunches on child body weight outcomes. 2020</w:t>
      </w:r>
    </w:p>
    <w:p w14:paraId="1B9A042F"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Holiday Hunger Project, a report on the holiday food and activity clubs monitored and supported by York Food Poverty Alliance June 2018-April 2019</w:t>
      </w:r>
    </w:p>
    <w:p w14:paraId="7E9F2F2D" w14:textId="77777777" w:rsidR="008A07B2" w:rsidRP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Rose Vouchers for fruit and veg: Final Evaluation Report. 2017</w:t>
      </w:r>
    </w:p>
    <w:p w14:paraId="37F73613" w14:textId="77777777" w:rsidR="008A07B2" w:rsidRDefault="008A07B2" w:rsidP="008A07B2">
      <w:pPr>
        <w:pStyle w:val="ListParagraph"/>
        <w:numPr>
          <w:ilvl w:val="0"/>
          <w:numId w:val="19"/>
        </w:numPr>
        <w:rPr>
          <w:rFonts w:ascii="Segoe UI" w:hAnsi="Segoe UI" w:cs="Segoe UI"/>
          <w:sz w:val="21"/>
          <w:szCs w:val="21"/>
        </w:rPr>
      </w:pPr>
      <w:r w:rsidRPr="008A07B2">
        <w:rPr>
          <w:rFonts w:ascii="Segoe UI" w:hAnsi="Segoe UI" w:cs="Segoe UI"/>
          <w:sz w:val="21"/>
          <w:szCs w:val="21"/>
        </w:rPr>
        <w:t>Shaping Places for Healthier Lives: about the programme. 2022</w:t>
      </w:r>
    </w:p>
    <w:p w14:paraId="6B9C0CFD" w14:textId="5EF7D29C" w:rsidR="00F341EE" w:rsidRPr="00B1323B" w:rsidRDefault="008A07B2" w:rsidP="00CB3BF5">
      <w:pPr>
        <w:pStyle w:val="ListParagraph"/>
        <w:numPr>
          <w:ilvl w:val="0"/>
          <w:numId w:val="19"/>
        </w:numPr>
        <w:rPr>
          <w:rFonts w:ascii="Segoe UI" w:hAnsi="Segoe UI" w:cs="Segoe UI"/>
          <w:sz w:val="21"/>
          <w:szCs w:val="21"/>
        </w:rPr>
        <w:sectPr w:rsidR="00F341EE" w:rsidRPr="00B1323B" w:rsidSect="00F341EE">
          <w:endnotePr>
            <w:numFmt w:val="decimal"/>
          </w:endnotePr>
          <w:type w:val="continuous"/>
          <w:pgSz w:w="11900" w:h="16840"/>
          <w:pgMar w:top="1440" w:right="1440" w:bottom="1440" w:left="1440" w:header="708" w:footer="708" w:gutter="0"/>
          <w:cols w:space="708"/>
          <w:docGrid w:linePitch="360"/>
        </w:sectPr>
      </w:pPr>
      <w:r w:rsidRPr="008A07B2">
        <w:rPr>
          <w:rFonts w:ascii="Segoe UI" w:hAnsi="Segoe UI" w:cs="Segoe UI"/>
          <w:sz w:val="21"/>
          <w:szCs w:val="21"/>
        </w:rPr>
        <w:t>Ways to care: Forms and possibilities of compassion within UK food banks. 2021</w:t>
      </w:r>
    </w:p>
    <w:p w14:paraId="466662B8" w14:textId="77777777" w:rsidR="00B1323B" w:rsidRDefault="00B1323B" w:rsidP="00CB3BF5">
      <w:pPr>
        <w:rPr>
          <w:rFonts w:ascii="Segoe UI" w:hAnsi="Segoe UI" w:cs="Segoe UI"/>
          <w:b/>
          <w:bCs/>
          <w:sz w:val="21"/>
          <w:szCs w:val="21"/>
        </w:rPr>
      </w:pPr>
    </w:p>
    <w:p w14:paraId="60E5F9DE" w14:textId="77777777" w:rsidR="00B1323B" w:rsidRDefault="00B1323B" w:rsidP="00CB3BF5">
      <w:pPr>
        <w:rPr>
          <w:rFonts w:ascii="Segoe UI" w:hAnsi="Segoe UI" w:cs="Segoe UI"/>
          <w:b/>
          <w:bCs/>
          <w:sz w:val="21"/>
          <w:szCs w:val="21"/>
        </w:rPr>
        <w:sectPr w:rsidR="00B1323B" w:rsidSect="00B1323B">
          <w:endnotePr>
            <w:numFmt w:val="decimal"/>
          </w:endnotePr>
          <w:type w:val="continuous"/>
          <w:pgSz w:w="11900" w:h="16840"/>
          <w:pgMar w:top="1440" w:right="1440" w:bottom="1440" w:left="1440" w:header="708" w:footer="708" w:gutter="0"/>
          <w:cols w:space="708"/>
          <w:docGrid w:linePitch="360"/>
        </w:sectPr>
      </w:pPr>
    </w:p>
    <w:p w14:paraId="4241218B" w14:textId="6B7740B8" w:rsidR="00CB3BF5" w:rsidRPr="00E01051" w:rsidRDefault="00CB3BF5" w:rsidP="00CB3BF5">
      <w:pPr>
        <w:rPr>
          <w:rFonts w:ascii="Segoe UI" w:hAnsi="Segoe UI" w:cs="Segoe UI"/>
          <w:sz w:val="21"/>
          <w:szCs w:val="21"/>
        </w:rPr>
      </w:pPr>
      <w:r w:rsidRPr="00F341EE">
        <w:rPr>
          <w:rFonts w:ascii="Segoe UI" w:hAnsi="Segoe UI" w:cs="Segoe UI"/>
          <w:b/>
          <w:bCs/>
          <w:sz w:val="21"/>
          <w:szCs w:val="21"/>
        </w:rPr>
        <w:t>Outcomes</w:t>
      </w:r>
    </w:p>
    <w:p w14:paraId="57B0BC1E"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Improved variety and quality of diet</w:t>
      </w:r>
    </w:p>
    <w:p w14:paraId="322DB6F2"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Willingness to try new things</w:t>
      </w:r>
    </w:p>
    <w:p w14:paraId="1ED038E8"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 xml:space="preserve">Reduced risk of obesity* </w:t>
      </w:r>
    </w:p>
    <w:p w14:paraId="3523F1B3"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New skills for young people</w:t>
      </w:r>
    </w:p>
    <w:p w14:paraId="3EFC3C90"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Social connectedness</w:t>
      </w:r>
    </w:p>
    <w:p w14:paraId="6DAC46A9"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Parents can work</w:t>
      </w:r>
    </w:p>
    <w:p w14:paraId="051FC63F"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Reduced household expenditure</w:t>
      </w:r>
    </w:p>
    <w:p w14:paraId="2F051450"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Reduced food insecurity</w:t>
      </w:r>
    </w:p>
    <w:p w14:paraId="70E90818"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Improved budgeting</w:t>
      </w:r>
    </w:p>
    <w:p w14:paraId="36E8620D"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Changed shopping behaviours</w:t>
      </w:r>
    </w:p>
    <w:p w14:paraId="0C0664C4"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Reduced takeaways/ fast food</w:t>
      </w:r>
    </w:p>
    <w:p w14:paraId="6C547716"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Improved attention</w:t>
      </w:r>
    </w:p>
    <w:p w14:paraId="7F69768F"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Fewer skipped classes</w:t>
      </w:r>
    </w:p>
    <w:p w14:paraId="0BF637A0" w14:textId="77777777" w:rsidR="00CB3BF5" w:rsidRPr="00E01051" w:rsidRDefault="00CB3BF5" w:rsidP="00CB3BF5">
      <w:pPr>
        <w:ind w:left="360"/>
        <w:rPr>
          <w:rFonts w:ascii="Segoe UI" w:hAnsi="Segoe UI" w:cs="Segoe UI"/>
          <w:sz w:val="21"/>
          <w:szCs w:val="21"/>
        </w:rPr>
      </w:pPr>
    </w:p>
    <w:p w14:paraId="7FC0A959" w14:textId="77777777" w:rsidR="00CB3BF5" w:rsidRPr="00E01051" w:rsidRDefault="00CB3BF5" w:rsidP="00CB3BF5">
      <w:pPr>
        <w:ind w:left="360"/>
        <w:rPr>
          <w:rFonts w:ascii="Segoe UI" w:hAnsi="Segoe UI" w:cs="Segoe UI"/>
          <w:sz w:val="21"/>
          <w:szCs w:val="21"/>
          <w:u w:val="single"/>
        </w:rPr>
      </w:pPr>
      <w:r w:rsidRPr="00E01051">
        <w:rPr>
          <w:rFonts w:ascii="Segoe UI" w:hAnsi="Segoe UI" w:cs="Segoe UI"/>
          <w:sz w:val="21"/>
          <w:szCs w:val="21"/>
          <w:u w:val="single"/>
        </w:rPr>
        <w:t>For supermarkets / food providers:</w:t>
      </w:r>
    </w:p>
    <w:p w14:paraId="1D2DAC54" w14:textId="77777777" w:rsidR="00CB3BF5" w:rsidRPr="00E01051" w:rsidRDefault="00CB3BF5" w:rsidP="00CB3BF5">
      <w:pPr>
        <w:numPr>
          <w:ilvl w:val="0"/>
          <w:numId w:val="11"/>
        </w:numPr>
        <w:rPr>
          <w:rFonts w:ascii="Segoe UI" w:hAnsi="Segoe UI" w:cs="Segoe UI"/>
          <w:sz w:val="21"/>
          <w:szCs w:val="21"/>
        </w:rPr>
      </w:pPr>
      <w:r w:rsidRPr="00E01051">
        <w:rPr>
          <w:rFonts w:ascii="Segoe UI" w:hAnsi="Segoe UI" w:cs="Segoe UI"/>
          <w:sz w:val="21"/>
          <w:szCs w:val="21"/>
        </w:rPr>
        <w:t>Improved CSR for supermarkets</w:t>
      </w:r>
    </w:p>
    <w:p w14:paraId="6FC9DBFA" w14:textId="7B6AAE26" w:rsidR="00CB3BF5" w:rsidRDefault="00CB3BF5" w:rsidP="000D290A">
      <w:pPr>
        <w:numPr>
          <w:ilvl w:val="0"/>
          <w:numId w:val="11"/>
        </w:numPr>
        <w:rPr>
          <w:rFonts w:ascii="Segoe UI" w:hAnsi="Segoe UI" w:cs="Segoe UI"/>
          <w:sz w:val="21"/>
          <w:szCs w:val="21"/>
        </w:rPr>
      </w:pPr>
      <w:r w:rsidRPr="00D73287">
        <w:rPr>
          <w:rFonts w:ascii="Segoe UI" w:hAnsi="Segoe UI" w:cs="Segoe UI"/>
          <w:sz w:val="21"/>
          <w:szCs w:val="21"/>
        </w:rPr>
        <w:t>Reduced cost of food disposal</w:t>
      </w:r>
    </w:p>
    <w:p w14:paraId="49F33E36" w14:textId="77777777" w:rsidR="00D73287" w:rsidRPr="00D73287" w:rsidRDefault="00D73287" w:rsidP="00D73287">
      <w:pPr>
        <w:numPr>
          <w:ilvl w:val="0"/>
          <w:numId w:val="11"/>
        </w:numPr>
        <w:rPr>
          <w:rFonts w:ascii="Segoe UI" w:hAnsi="Segoe UI" w:cs="Segoe UI"/>
          <w:sz w:val="21"/>
          <w:szCs w:val="21"/>
        </w:rPr>
        <w:sectPr w:rsidR="00D73287" w:rsidRPr="00D73287" w:rsidSect="00B1323B">
          <w:endnotePr>
            <w:numFmt w:val="decimal"/>
          </w:endnotePr>
          <w:type w:val="continuous"/>
          <w:pgSz w:w="11900" w:h="16840"/>
          <w:pgMar w:top="1440" w:right="1440" w:bottom="1440" w:left="1440" w:header="708" w:footer="708" w:gutter="0"/>
          <w:cols w:num="2" w:space="708"/>
          <w:docGrid w:linePitch="360"/>
        </w:sectPr>
      </w:pPr>
      <w:r w:rsidRPr="00F341EE">
        <w:rPr>
          <w:rFonts w:ascii="Segoe UI" w:hAnsi="Segoe UI" w:cs="Segoe UI"/>
          <w:sz w:val="21"/>
          <w:szCs w:val="21"/>
        </w:rPr>
        <w:t>Increased market trader revenue (i.e., from the tailored voucher scheme</w:t>
      </w:r>
      <w:r>
        <w:rPr>
          <w:rFonts w:ascii="Segoe UI" w:hAnsi="Segoe UI" w:cs="Segoe UI"/>
          <w:sz w:val="21"/>
          <w:szCs w:val="21"/>
        </w:rPr>
        <w:t>.</w:t>
      </w:r>
    </w:p>
    <w:p w14:paraId="46A7E11D" w14:textId="77777777" w:rsidR="00D73287" w:rsidRPr="00D73287" w:rsidRDefault="00D73287" w:rsidP="00D73287">
      <w:pPr>
        <w:ind w:left="720"/>
        <w:rPr>
          <w:rFonts w:ascii="Segoe UI" w:hAnsi="Segoe UI" w:cs="Segoe UI"/>
          <w:sz w:val="21"/>
          <w:szCs w:val="21"/>
        </w:rPr>
      </w:pPr>
    </w:p>
    <w:p w14:paraId="5CAB37E0" w14:textId="77777777" w:rsidR="00F341EE" w:rsidRDefault="00F341EE" w:rsidP="00F341EE">
      <w:pPr>
        <w:rPr>
          <w:rFonts w:ascii="Segoe UI" w:hAnsi="Segoe UI" w:cs="Segoe UI"/>
          <w:b/>
          <w:bCs/>
          <w:sz w:val="28"/>
          <w:szCs w:val="28"/>
        </w:rPr>
        <w:sectPr w:rsidR="00F341EE" w:rsidSect="00B1323B">
          <w:endnotePr>
            <w:numFmt w:val="decimal"/>
          </w:endnotePr>
          <w:type w:val="continuous"/>
          <w:pgSz w:w="11900" w:h="16840"/>
          <w:pgMar w:top="1440" w:right="1440" w:bottom="1440" w:left="1440" w:header="708" w:footer="708" w:gutter="0"/>
          <w:cols w:space="708"/>
          <w:docGrid w:linePitch="360"/>
        </w:sectPr>
      </w:pPr>
    </w:p>
    <w:p w14:paraId="74D14EB5" w14:textId="77777777" w:rsidR="00D73287" w:rsidRDefault="00D73287" w:rsidP="00F341EE">
      <w:pPr>
        <w:rPr>
          <w:rFonts w:ascii="Segoe UI" w:hAnsi="Segoe UI" w:cs="Segoe UI"/>
          <w:b/>
          <w:bCs/>
          <w:sz w:val="28"/>
          <w:szCs w:val="28"/>
        </w:rPr>
      </w:pPr>
    </w:p>
    <w:p w14:paraId="3AD0159D" w14:textId="13A67B35" w:rsidR="00CB3BF5" w:rsidRPr="00F341EE" w:rsidRDefault="00CB3BF5" w:rsidP="00F341EE">
      <w:pPr>
        <w:rPr>
          <w:rFonts w:ascii="Segoe UI" w:hAnsi="Segoe UI" w:cs="Segoe UI"/>
          <w:b/>
          <w:bCs/>
          <w:sz w:val="28"/>
          <w:szCs w:val="28"/>
        </w:rPr>
      </w:pPr>
      <w:r w:rsidRPr="00F341EE">
        <w:rPr>
          <w:rFonts w:ascii="Segoe UI" w:hAnsi="Segoe UI" w:cs="Segoe UI"/>
          <w:b/>
          <w:bCs/>
          <w:sz w:val="28"/>
          <w:szCs w:val="28"/>
        </w:rPr>
        <w:t>Examples</w:t>
      </w:r>
    </w:p>
    <w:p w14:paraId="68A20C64" w14:textId="77777777" w:rsidR="00BB0A8F" w:rsidRDefault="00BB0A8F" w:rsidP="00CB3BF5"/>
    <w:p w14:paraId="4E1FAA6C" w14:textId="17ACC77E" w:rsidR="00CB3BF5" w:rsidRDefault="00D73287" w:rsidP="00CB3BF5">
      <w:pPr>
        <w:rPr>
          <w:rFonts w:ascii="Segoe UI" w:eastAsia="Times New Roman" w:hAnsi="Segoe UI" w:cs="Segoe UI"/>
          <w:b/>
          <w:bCs/>
          <w:color w:val="000000"/>
          <w:sz w:val="21"/>
          <w:szCs w:val="21"/>
          <w:lang w:eastAsia="en-GB"/>
        </w:rPr>
      </w:pPr>
      <w:r>
        <w:rPr>
          <w:rFonts w:ascii="Segoe UI" w:eastAsia="Times New Roman" w:hAnsi="Segoe UI" w:cs="Segoe UI"/>
          <w:b/>
          <w:bCs/>
          <w:color w:val="000000"/>
          <w:sz w:val="21"/>
          <w:szCs w:val="21"/>
          <w:lang w:eastAsia="en-GB"/>
        </w:rPr>
        <w:t>Tang Hall Big Picnics and Breakfast Club (York)</w:t>
      </w:r>
    </w:p>
    <w:p w14:paraId="5072BC83" w14:textId="77777777" w:rsidR="00D73287" w:rsidRPr="00E01051" w:rsidRDefault="00D73287" w:rsidP="00CB3BF5">
      <w:pPr>
        <w:rPr>
          <w:rFonts w:ascii="Segoe UI" w:eastAsia="Times New Roman" w:hAnsi="Segoe UI" w:cs="Segoe UI"/>
          <w:b/>
          <w:bCs/>
          <w:color w:val="000000"/>
          <w:sz w:val="21"/>
          <w:szCs w:val="21"/>
          <w:lang w:eastAsia="en-GB"/>
        </w:rPr>
      </w:pPr>
    </w:p>
    <w:p w14:paraId="7AE218AB" w14:textId="35094F91" w:rsidR="00F341EE" w:rsidRPr="00B1323B" w:rsidRDefault="00B1323B" w:rsidP="00CB3BF5">
      <w:r w:rsidRPr="00B1323B">
        <w:rPr>
          <w:rFonts w:ascii="Segoe UI" w:eastAsia="Times New Roman" w:hAnsi="Segoe UI" w:cs="Segoe UI"/>
          <w:color w:val="000000"/>
          <w:sz w:val="21"/>
          <w:szCs w:val="21"/>
          <w:lang w:eastAsia="en-GB"/>
        </w:rPr>
        <w:t xml:space="preserve">The food poverty alliance in York </w:t>
      </w:r>
      <w:r w:rsidR="00D73287">
        <w:rPr>
          <w:rFonts w:ascii="Segoe UI" w:eastAsia="Times New Roman" w:hAnsi="Segoe UI" w:cs="Segoe UI"/>
          <w:color w:val="000000"/>
          <w:sz w:val="21"/>
          <w:szCs w:val="21"/>
          <w:lang w:eastAsia="en-GB"/>
        </w:rPr>
        <w:t xml:space="preserve">has been </w:t>
      </w:r>
      <w:r w:rsidRPr="00B1323B">
        <w:rPr>
          <w:rFonts w:ascii="Segoe UI" w:eastAsia="Times New Roman" w:hAnsi="Segoe UI" w:cs="Segoe UI"/>
          <w:color w:val="000000"/>
          <w:sz w:val="21"/>
          <w:szCs w:val="21"/>
          <w:lang w:eastAsia="en-GB"/>
        </w:rPr>
        <w:t>a collective measure / model now known as York Food Justice Alliance</w:t>
      </w:r>
      <w:r>
        <w:rPr>
          <w:rFonts w:ascii="Segoe UI" w:eastAsia="Times New Roman" w:hAnsi="Segoe UI" w:cs="Segoe UI"/>
          <w:color w:val="000000"/>
          <w:sz w:val="21"/>
          <w:szCs w:val="21"/>
          <w:lang w:eastAsia="en-GB"/>
        </w:rPr>
        <w:t>. R</w:t>
      </w:r>
      <w:r w:rsidRPr="00B1323B">
        <w:rPr>
          <w:rFonts w:ascii="Segoe UI" w:eastAsia="Times New Roman" w:hAnsi="Segoe UI" w:cs="Segoe UI"/>
          <w:color w:val="000000"/>
          <w:sz w:val="21"/>
          <w:szCs w:val="21"/>
          <w:lang w:eastAsia="en-GB"/>
        </w:rPr>
        <w:t xml:space="preserve">esearch identified 32 organisations delivering varied community food aid in the </w:t>
      </w:r>
      <w:r>
        <w:rPr>
          <w:rFonts w:ascii="Segoe UI" w:eastAsia="Times New Roman" w:hAnsi="Segoe UI" w:cs="Segoe UI"/>
          <w:color w:val="000000"/>
          <w:sz w:val="21"/>
          <w:szCs w:val="21"/>
          <w:lang w:eastAsia="en-GB"/>
        </w:rPr>
        <w:t>ci</w:t>
      </w:r>
      <w:r w:rsidRPr="00B1323B">
        <w:rPr>
          <w:rFonts w:ascii="Segoe UI" w:eastAsia="Times New Roman" w:hAnsi="Segoe UI" w:cs="Segoe UI"/>
          <w:color w:val="000000"/>
          <w:sz w:val="21"/>
          <w:szCs w:val="21"/>
          <w:lang w:eastAsia="en-GB"/>
        </w:rPr>
        <w:t>ty, ranging from traditional soup kitchens to community allotments.</w:t>
      </w:r>
      <w:r>
        <w:rPr>
          <w:rFonts w:ascii="Segoe UI" w:eastAsia="Times New Roman" w:hAnsi="Segoe UI" w:cs="Segoe UI"/>
          <w:color w:val="000000"/>
          <w:sz w:val="21"/>
          <w:szCs w:val="21"/>
          <w:lang w:eastAsia="en-GB"/>
        </w:rPr>
        <w:t xml:space="preserve"> One of these was</w:t>
      </w:r>
      <w:r w:rsidRPr="00B1323B">
        <w:rPr>
          <w:rFonts w:ascii="Segoe UI" w:eastAsia="Times New Roman" w:hAnsi="Segoe UI" w:cs="Segoe UI"/>
          <w:color w:val="000000"/>
          <w:sz w:val="21"/>
          <w:szCs w:val="21"/>
          <w:lang w:eastAsia="en-GB"/>
        </w:rPr>
        <w:t xml:space="preserve"> Tang Hall Big Picnics &amp; Breakfast Club</w:t>
      </w:r>
      <w:r w:rsidR="005A33A5">
        <w:rPr>
          <w:rFonts w:ascii="Segoe UI" w:eastAsia="Times New Roman" w:hAnsi="Segoe UI" w:cs="Segoe UI"/>
          <w:color w:val="000000"/>
          <w:sz w:val="21"/>
          <w:szCs w:val="21"/>
          <w:lang w:eastAsia="en-GB"/>
        </w:rPr>
        <w:t xml:space="preserve"> (THBBBC)</w:t>
      </w:r>
      <w:r w:rsidR="00D73287">
        <w:rPr>
          <w:rFonts w:ascii="Segoe UI" w:eastAsia="Times New Roman" w:hAnsi="Segoe UI" w:cs="Segoe UI"/>
          <w:color w:val="000000"/>
          <w:sz w:val="21"/>
          <w:szCs w:val="21"/>
          <w:lang w:eastAsia="en-GB"/>
        </w:rPr>
        <w:t>.</w:t>
      </w:r>
    </w:p>
    <w:p w14:paraId="591FC088" w14:textId="322A091C" w:rsidR="00B1323B" w:rsidRDefault="00B1323B" w:rsidP="00CB3BF5">
      <w:pPr>
        <w:rPr>
          <w:rFonts w:ascii="Segoe UI" w:eastAsia="Times New Roman" w:hAnsi="Segoe UI" w:cs="Segoe UI"/>
          <w:color w:val="000000"/>
          <w:sz w:val="21"/>
          <w:szCs w:val="21"/>
          <w:lang w:eastAsia="en-GB"/>
        </w:rPr>
      </w:pPr>
    </w:p>
    <w:p w14:paraId="105ECD3E" w14:textId="05DF004D" w:rsidR="005A33A5" w:rsidRDefault="005A33A5" w:rsidP="00CB3BF5">
      <w:pPr>
        <w:rPr>
          <w:rFonts w:ascii="Segoe UI" w:eastAsia="Times New Roman" w:hAnsi="Segoe UI" w:cs="Segoe UI"/>
          <w:color w:val="000000"/>
          <w:sz w:val="21"/>
          <w:szCs w:val="21"/>
          <w:lang w:eastAsia="en-GB"/>
        </w:rPr>
      </w:pPr>
      <w:r>
        <w:rPr>
          <w:rFonts w:ascii="Segoe UI" w:eastAsia="Times New Roman" w:hAnsi="Segoe UI" w:cs="Segoe UI"/>
          <w:color w:val="000000"/>
          <w:sz w:val="21"/>
          <w:szCs w:val="21"/>
          <w:lang w:eastAsia="en-GB"/>
        </w:rPr>
        <w:t>THBBBC was d</w:t>
      </w:r>
      <w:r w:rsidR="00B1323B">
        <w:rPr>
          <w:rFonts w:ascii="Segoe UI" w:eastAsia="Times New Roman" w:hAnsi="Segoe UI" w:cs="Segoe UI"/>
          <w:color w:val="000000"/>
          <w:sz w:val="21"/>
          <w:szCs w:val="21"/>
          <w:lang w:eastAsia="en-GB"/>
        </w:rPr>
        <w:t xml:space="preserve">elivered </w:t>
      </w:r>
      <w:r w:rsidR="00B1323B" w:rsidRPr="00B1323B">
        <w:rPr>
          <w:rFonts w:ascii="Segoe UI" w:eastAsia="Times New Roman" w:hAnsi="Segoe UI" w:cs="Segoe UI"/>
          <w:color w:val="000000"/>
          <w:sz w:val="21"/>
          <w:szCs w:val="21"/>
          <w:lang w:eastAsia="en-GB"/>
        </w:rPr>
        <w:t xml:space="preserve">by Tang Hall Big Local in partnership with Tang Hall Community Centre and Community </w:t>
      </w:r>
      <w:r w:rsidR="00E5629F" w:rsidRPr="00B1323B">
        <w:rPr>
          <w:rFonts w:ascii="Segoe UI" w:eastAsia="Times New Roman" w:hAnsi="Segoe UI" w:cs="Segoe UI"/>
          <w:color w:val="000000"/>
          <w:sz w:val="21"/>
          <w:szCs w:val="21"/>
          <w:lang w:eastAsia="en-GB"/>
        </w:rPr>
        <w:t>Base,</w:t>
      </w:r>
      <w:r w:rsidR="00B1323B" w:rsidRPr="00B1323B">
        <w:rPr>
          <w:rFonts w:ascii="Segoe UI" w:eastAsia="Times New Roman" w:hAnsi="Segoe UI" w:cs="Segoe UI"/>
          <w:color w:val="000000"/>
          <w:sz w:val="21"/>
          <w:szCs w:val="21"/>
          <w:lang w:eastAsia="en-GB"/>
        </w:rPr>
        <w:t xml:space="preserve"> Tang Hall Food Coop and Food Circle</w:t>
      </w:r>
      <w:r>
        <w:rPr>
          <w:rFonts w:ascii="Segoe UI" w:eastAsia="Times New Roman" w:hAnsi="Segoe UI" w:cs="Segoe UI"/>
          <w:color w:val="000000"/>
          <w:sz w:val="21"/>
          <w:szCs w:val="21"/>
          <w:lang w:eastAsia="en-GB"/>
        </w:rPr>
        <w:t xml:space="preserve">. </w:t>
      </w:r>
      <w:r w:rsidR="00B1323B" w:rsidRPr="00B1323B">
        <w:rPr>
          <w:rFonts w:ascii="Segoe UI" w:eastAsia="Times New Roman" w:hAnsi="Segoe UI" w:cs="Segoe UI"/>
          <w:color w:val="000000"/>
          <w:sz w:val="21"/>
          <w:szCs w:val="21"/>
          <w:lang w:eastAsia="en-GB"/>
        </w:rPr>
        <w:t>Community Base</w:t>
      </w:r>
      <w:r w:rsidR="00D73287">
        <w:rPr>
          <w:rFonts w:ascii="Segoe UI" w:eastAsia="Times New Roman" w:hAnsi="Segoe UI" w:cs="Segoe UI"/>
          <w:color w:val="000000"/>
          <w:sz w:val="21"/>
          <w:szCs w:val="21"/>
          <w:lang w:eastAsia="en-GB"/>
        </w:rPr>
        <w:t xml:space="preserve">, an </w:t>
      </w:r>
      <w:r w:rsidR="00B1323B" w:rsidRPr="00B1323B">
        <w:rPr>
          <w:rFonts w:ascii="Segoe UI" w:eastAsia="Times New Roman" w:hAnsi="Segoe UI" w:cs="Segoe UI"/>
          <w:color w:val="000000"/>
          <w:sz w:val="21"/>
          <w:szCs w:val="21"/>
          <w:lang w:eastAsia="en-GB"/>
        </w:rPr>
        <w:t>organisation for people with learning disabilities w</w:t>
      </w:r>
      <w:r w:rsidR="00D73287">
        <w:rPr>
          <w:rFonts w:ascii="Segoe UI" w:eastAsia="Times New Roman" w:hAnsi="Segoe UI" w:cs="Segoe UI"/>
          <w:color w:val="000000"/>
          <w:sz w:val="21"/>
          <w:szCs w:val="21"/>
          <w:lang w:eastAsia="en-GB"/>
        </w:rPr>
        <w:t>as</w:t>
      </w:r>
      <w:r w:rsidR="00B1323B" w:rsidRPr="00B1323B">
        <w:rPr>
          <w:rFonts w:ascii="Segoe UI" w:eastAsia="Times New Roman" w:hAnsi="Segoe UI" w:cs="Segoe UI"/>
          <w:color w:val="000000"/>
          <w:sz w:val="21"/>
          <w:szCs w:val="21"/>
          <w:lang w:eastAsia="en-GB"/>
        </w:rPr>
        <w:t xml:space="preserve"> already volunteering </w:t>
      </w:r>
      <w:r>
        <w:rPr>
          <w:rFonts w:ascii="Segoe UI" w:eastAsia="Times New Roman" w:hAnsi="Segoe UI" w:cs="Segoe UI"/>
          <w:color w:val="000000"/>
          <w:sz w:val="21"/>
          <w:szCs w:val="21"/>
          <w:lang w:eastAsia="en-GB"/>
        </w:rPr>
        <w:t xml:space="preserve">during </w:t>
      </w:r>
      <w:r w:rsidR="00B1323B" w:rsidRPr="00B1323B">
        <w:rPr>
          <w:rFonts w:ascii="Segoe UI" w:eastAsia="Times New Roman" w:hAnsi="Segoe UI" w:cs="Segoe UI"/>
          <w:color w:val="000000"/>
          <w:sz w:val="21"/>
          <w:szCs w:val="21"/>
          <w:lang w:eastAsia="en-GB"/>
        </w:rPr>
        <w:t xml:space="preserve">termtime and needed the opportunity to continue in the holidays </w:t>
      </w:r>
      <w:r>
        <w:rPr>
          <w:rFonts w:ascii="Segoe UI" w:eastAsia="Times New Roman" w:hAnsi="Segoe UI" w:cs="Segoe UI"/>
          <w:color w:val="000000"/>
          <w:sz w:val="21"/>
          <w:szCs w:val="21"/>
          <w:lang w:eastAsia="en-GB"/>
        </w:rPr>
        <w:t>and find</w:t>
      </w:r>
      <w:r w:rsidR="00B1323B" w:rsidRPr="00B1323B">
        <w:rPr>
          <w:rFonts w:ascii="Segoe UI" w:eastAsia="Times New Roman" w:hAnsi="Segoe UI" w:cs="Segoe UI"/>
          <w:color w:val="000000"/>
          <w:sz w:val="21"/>
          <w:szCs w:val="21"/>
          <w:lang w:eastAsia="en-GB"/>
        </w:rPr>
        <w:t xml:space="preserve"> a space for people to come to eat their pack-ups in the day </w:t>
      </w:r>
      <w:r w:rsidR="00E5629F" w:rsidRPr="00B1323B">
        <w:rPr>
          <w:rFonts w:ascii="Segoe UI" w:eastAsia="Times New Roman" w:hAnsi="Segoe UI" w:cs="Segoe UI"/>
          <w:color w:val="000000"/>
          <w:sz w:val="21"/>
          <w:szCs w:val="21"/>
          <w:lang w:eastAsia="en-GB"/>
        </w:rPr>
        <w:t>e.g.,</w:t>
      </w:r>
      <w:r w:rsidR="00B1323B" w:rsidRPr="00B1323B">
        <w:rPr>
          <w:rFonts w:ascii="Segoe UI" w:eastAsia="Times New Roman" w:hAnsi="Segoe UI" w:cs="Segoe UI"/>
          <w:color w:val="000000"/>
          <w:sz w:val="21"/>
          <w:szCs w:val="21"/>
          <w:lang w:eastAsia="en-GB"/>
        </w:rPr>
        <w:t xml:space="preserve"> those on Direct Payments having to find their own care/day services. </w:t>
      </w:r>
    </w:p>
    <w:p w14:paraId="7ED9BFF0" w14:textId="77777777" w:rsidR="005A33A5" w:rsidRDefault="005A33A5" w:rsidP="00CB3BF5">
      <w:pPr>
        <w:rPr>
          <w:rFonts w:ascii="Segoe UI" w:eastAsia="Times New Roman" w:hAnsi="Segoe UI" w:cs="Segoe UI"/>
          <w:color w:val="000000"/>
          <w:sz w:val="21"/>
          <w:szCs w:val="21"/>
          <w:lang w:eastAsia="en-GB"/>
        </w:rPr>
      </w:pPr>
    </w:p>
    <w:p w14:paraId="11AC39A3" w14:textId="6EE1CC88" w:rsidR="00B1323B" w:rsidRDefault="00B1323B" w:rsidP="00CB3BF5">
      <w:pPr>
        <w:rPr>
          <w:rFonts w:ascii="Segoe UI" w:eastAsia="Times New Roman" w:hAnsi="Segoe UI" w:cs="Segoe UI"/>
          <w:color w:val="000000"/>
          <w:sz w:val="21"/>
          <w:szCs w:val="21"/>
          <w:lang w:eastAsia="en-GB"/>
        </w:rPr>
      </w:pPr>
      <w:r w:rsidRPr="00B1323B">
        <w:rPr>
          <w:rFonts w:ascii="Segoe UI" w:eastAsia="Times New Roman" w:hAnsi="Segoe UI" w:cs="Segoe UI"/>
          <w:color w:val="000000"/>
          <w:sz w:val="21"/>
          <w:szCs w:val="21"/>
          <w:lang w:eastAsia="en-GB"/>
        </w:rPr>
        <w:lastRenderedPageBreak/>
        <w:t xml:space="preserve">Tang Hall Big Local picked up </w:t>
      </w:r>
      <w:r w:rsidR="005A33A5">
        <w:rPr>
          <w:rFonts w:ascii="Segoe UI" w:eastAsia="Times New Roman" w:hAnsi="Segoe UI" w:cs="Segoe UI"/>
          <w:color w:val="000000"/>
          <w:sz w:val="21"/>
          <w:szCs w:val="21"/>
          <w:lang w:eastAsia="en-GB"/>
        </w:rPr>
        <w:t xml:space="preserve">on this </w:t>
      </w:r>
      <w:r w:rsidRPr="00B1323B">
        <w:rPr>
          <w:rFonts w:ascii="Segoe UI" w:eastAsia="Times New Roman" w:hAnsi="Segoe UI" w:cs="Segoe UI"/>
          <w:color w:val="000000"/>
          <w:sz w:val="21"/>
          <w:szCs w:val="21"/>
          <w:lang w:eastAsia="en-GB"/>
        </w:rPr>
        <w:t xml:space="preserve">need </w:t>
      </w:r>
      <w:r w:rsidR="00E5629F">
        <w:rPr>
          <w:rFonts w:ascii="Segoe UI" w:eastAsia="Times New Roman" w:hAnsi="Segoe UI" w:cs="Segoe UI"/>
          <w:color w:val="000000"/>
          <w:sz w:val="21"/>
          <w:szCs w:val="21"/>
          <w:lang w:eastAsia="en-GB"/>
        </w:rPr>
        <w:t>and</w:t>
      </w:r>
      <w:r w:rsidRPr="00B1323B">
        <w:rPr>
          <w:rFonts w:ascii="Segoe UI" w:eastAsia="Times New Roman" w:hAnsi="Segoe UI" w:cs="Segoe UI"/>
          <w:color w:val="000000"/>
          <w:sz w:val="21"/>
          <w:szCs w:val="21"/>
          <w:lang w:eastAsia="en-GB"/>
        </w:rPr>
        <w:t xml:space="preserve"> </w:t>
      </w:r>
      <w:r w:rsidR="00E5629F" w:rsidRPr="00B1323B">
        <w:rPr>
          <w:rFonts w:ascii="Segoe UI" w:eastAsia="Times New Roman" w:hAnsi="Segoe UI" w:cs="Segoe UI"/>
          <w:color w:val="000000"/>
          <w:sz w:val="21"/>
          <w:szCs w:val="21"/>
          <w:lang w:eastAsia="en-GB"/>
        </w:rPr>
        <w:t>started</w:t>
      </w:r>
      <w:r w:rsidR="00E5629F">
        <w:rPr>
          <w:rFonts w:ascii="Segoe UI" w:eastAsia="Times New Roman" w:hAnsi="Segoe UI" w:cs="Segoe UI"/>
          <w:color w:val="000000"/>
          <w:sz w:val="21"/>
          <w:szCs w:val="21"/>
          <w:lang w:eastAsia="en-GB"/>
        </w:rPr>
        <w:t xml:space="preserve"> </w:t>
      </w:r>
      <w:r w:rsidRPr="00B1323B">
        <w:rPr>
          <w:rFonts w:ascii="Segoe UI" w:eastAsia="Times New Roman" w:hAnsi="Segoe UI" w:cs="Segoe UI"/>
          <w:color w:val="000000"/>
          <w:sz w:val="21"/>
          <w:szCs w:val="21"/>
          <w:lang w:eastAsia="en-GB"/>
        </w:rPr>
        <w:t>the holiday picnic</w:t>
      </w:r>
      <w:r w:rsidR="00E5629F">
        <w:rPr>
          <w:rFonts w:ascii="Segoe UI" w:eastAsia="Times New Roman" w:hAnsi="Segoe UI" w:cs="Segoe UI"/>
          <w:color w:val="000000"/>
          <w:sz w:val="21"/>
          <w:szCs w:val="21"/>
          <w:lang w:eastAsia="en-GB"/>
        </w:rPr>
        <w:t xml:space="preserve">. On </w:t>
      </w:r>
      <w:r w:rsidRPr="00B1323B">
        <w:rPr>
          <w:rFonts w:ascii="Segoe UI" w:eastAsia="Times New Roman" w:hAnsi="Segoe UI" w:cs="Segoe UI"/>
          <w:color w:val="000000"/>
          <w:sz w:val="21"/>
          <w:szCs w:val="21"/>
          <w:lang w:eastAsia="en-GB"/>
        </w:rPr>
        <w:t>average</w:t>
      </w:r>
      <w:r w:rsidR="00E5629F">
        <w:rPr>
          <w:rFonts w:ascii="Segoe UI" w:eastAsia="Times New Roman" w:hAnsi="Segoe UI" w:cs="Segoe UI"/>
          <w:color w:val="000000"/>
          <w:sz w:val="21"/>
          <w:szCs w:val="21"/>
          <w:lang w:eastAsia="en-GB"/>
        </w:rPr>
        <w:t>,</w:t>
      </w:r>
      <w:r w:rsidRPr="00B1323B">
        <w:rPr>
          <w:rFonts w:ascii="Segoe UI" w:eastAsia="Times New Roman" w:hAnsi="Segoe UI" w:cs="Segoe UI"/>
          <w:color w:val="000000"/>
          <w:sz w:val="21"/>
          <w:szCs w:val="21"/>
          <w:lang w:eastAsia="en-GB"/>
        </w:rPr>
        <w:t xml:space="preserve"> 50 people per week</w:t>
      </w:r>
      <w:r w:rsidR="005A33A5">
        <w:rPr>
          <w:rFonts w:ascii="Segoe UI" w:eastAsia="Times New Roman" w:hAnsi="Segoe UI" w:cs="Segoe UI"/>
          <w:color w:val="000000"/>
          <w:sz w:val="21"/>
          <w:szCs w:val="21"/>
          <w:lang w:eastAsia="en-GB"/>
        </w:rPr>
        <w:t xml:space="preserve"> </w:t>
      </w:r>
      <w:r w:rsidR="00E5629F">
        <w:rPr>
          <w:rFonts w:ascii="Segoe UI" w:eastAsia="Times New Roman" w:hAnsi="Segoe UI" w:cs="Segoe UI"/>
          <w:color w:val="000000"/>
          <w:sz w:val="21"/>
          <w:szCs w:val="21"/>
          <w:lang w:eastAsia="en-GB"/>
        </w:rPr>
        <w:t xml:space="preserve">attended </w:t>
      </w:r>
      <w:r w:rsidR="005A33A5">
        <w:rPr>
          <w:rFonts w:ascii="Segoe UI" w:eastAsia="Times New Roman" w:hAnsi="Segoe UI" w:cs="Segoe UI"/>
          <w:color w:val="000000"/>
          <w:sz w:val="21"/>
          <w:szCs w:val="21"/>
          <w:lang w:eastAsia="en-GB"/>
        </w:rPr>
        <w:t>for lunch</w:t>
      </w:r>
      <w:r w:rsidRPr="00B1323B">
        <w:rPr>
          <w:rFonts w:ascii="Segoe UI" w:eastAsia="Times New Roman" w:hAnsi="Segoe UI" w:cs="Segoe UI"/>
          <w:color w:val="000000"/>
          <w:sz w:val="21"/>
          <w:szCs w:val="21"/>
          <w:lang w:eastAsia="en-GB"/>
        </w:rPr>
        <w:t xml:space="preserve">. </w:t>
      </w:r>
      <w:r w:rsidR="005A33A5">
        <w:rPr>
          <w:rFonts w:ascii="Segoe UI" w:eastAsia="Times New Roman" w:hAnsi="Segoe UI" w:cs="Segoe UI"/>
          <w:color w:val="000000"/>
          <w:sz w:val="21"/>
          <w:szCs w:val="21"/>
          <w:lang w:eastAsia="en-GB"/>
        </w:rPr>
        <w:t xml:space="preserve">Part of this </w:t>
      </w:r>
      <w:r w:rsidR="00E5629F">
        <w:rPr>
          <w:rFonts w:ascii="Segoe UI" w:eastAsia="Times New Roman" w:hAnsi="Segoe UI" w:cs="Segoe UI"/>
          <w:color w:val="000000"/>
          <w:sz w:val="21"/>
          <w:szCs w:val="21"/>
          <w:lang w:eastAsia="en-GB"/>
        </w:rPr>
        <w:t>tailored</w:t>
      </w:r>
      <w:r w:rsidR="005A33A5">
        <w:rPr>
          <w:rFonts w:ascii="Segoe UI" w:eastAsia="Times New Roman" w:hAnsi="Segoe UI" w:cs="Segoe UI"/>
          <w:color w:val="000000"/>
          <w:sz w:val="21"/>
          <w:szCs w:val="21"/>
          <w:lang w:eastAsia="en-GB"/>
        </w:rPr>
        <w:t xml:space="preserve"> offer that worked well was the provision of a</w:t>
      </w:r>
      <w:r w:rsidRPr="00B1323B">
        <w:rPr>
          <w:rFonts w:ascii="Segoe UI" w:eastAsia="Times New Roman" w:hAnsi="Segoe UI" w:cs="Segoe UI"/>
          <w:color w:val="000000"/>
          <w:sz w:val="21"/>
          <w:szCs w:val="21"/>
          <w:lang w:eastAsia="en-GB"/>
        </w:rPr>
        <w:t>dvice</w:t>
      </w:r>
      <w:r w:rsidR="005A33A5">
        <w:rPr>
          <w:rFonts w:ascii="Segoe UI" w:eastAsia="Times New Roman" w:hAnsi="Segoe UI" w:cs="Segoe UI"/>
          <w:color w:val="000000"/>
          <w:sz w:val="21"/>
          <w:szCs w:val="21"/>
          <w:lang w:eastAsia="en-GB"/>
        </w:rPr>
        <w:t xml:space="preserve"> and </w:t>
      </w:r>
      <w:r w:rsidRPr="00B1323B">
        <w:rPr>
          <w:rFonts w:ascii="Segoe UI" w:eastAsia="Times New Roman" w:hAnsi="Segoe UI" w:cs="Segoe UI"/>
          <w:color w:val="000000"/>
          <w:sz w:val="21"/>
          <w:szCs w:val="21"/>
          <w:lang w:eastAsia="en-GB"/>
        </w:rPr>
        <w:t>support</w:t>
      </w:r>
      <w:r w:rsidR="005A33A5">
        <w:rPr>
          <w:rFonts w:ascii="Segoe UI" w:eastAsia="Times New Roman" w:hAnsi="Segoe UI" w:cs="Segoe UI"/>
          <w:color w:val="000000"/>
          <w:sz w:val="21"/>
          <w:szCs w:val="21"/>
          <w:lang w:eastAsia="en-GB"/>
        </w:rPr>
        <w:t xml:space="preserve">, </w:t>
      </w:r>
      <w:r w:rsidRPr="00B1323B">
        <w:rPr>
          <w:rFonts w:ascii="Segoe UI" w:eastAsia="Times New Roman" w:hAnsi="Segoe UI" w:cs="Segoe UI"/>
          <w:color w:val="000000"/>
          <w:sz w:val="21"/>
          <w:szCs w:val="21"/>
          <w:lang w:eastAsia="en-GB"/>
        </w:rPr>
        <w:t xml:space="preserve">with outside workers from Credit Union, THCC groups, children's centres, all coming &amp; joining in </w:t>
      </w:r>
      <w:r w:rsidR="004171AC">
        <w:rPr>
          <w:rFonts w:ascii="Segoe UI" w:eastAsia="Times New Roman" w:hAnsi="Segoe UI" w:cs="Segoe UI"/>
          <w:color w:val="000000"/>
          <w:sz w:val="21"/>
          <w:szCs w:val="21"/>
          <w:lang w:eastAsia="en-GB"/>
        </w:rPr>
        <w:t>(</w:t>
      </w:r>
      <w:r w:rsidR="00E5629F">
        <w:rPr>
          <w:rFonts w:ascii="Segoe UI" w:eastAsia="Times New Roman" w:hAnsi="Segoe UI" w:cs="Segoe UI"/>
          <w:color w:val="000000"/>
          <w:sz w:val="21"/>
          <w:szCs w:val="21"/>
          <w:lang w:eastAsia="en-GB"/>
        </w:rPr>
        <w:t>i.e.,</w:t>
      </w:r>
      <w:r w:rsidR="004171AC">
        <w:rPr>
          <w:rFonts w:ascii="Segoe UI" w:eastAsia="Times New Roman" w:hAnsi="Segoe UI" w:cs="Segoe UI"/>
          <w:color w:val="000000"/>
          <w:sz w:val="21"/>
          <w:szCs w:val="21"/>
          <w:lang w:eastAsia="en-GB"/>
        </w:rPr>
        <w:t xml:space="preserve"> </w:t>
      </w:r>
      <w:r w:rsidRPr="00B1323B">
        <w:rPr>
          <w:rFonts w:ascii="Segoe UI" w:eastAsia="Times New Roman" w:hAnsi="Segoe UI" w:cs="Segoe UI"/>
          <w:color w:val="000000"/>
          <w:sz w:val="21"/>
          <w:szCs w:val="21"/>
          <w:lang w:eastAsia="en-GB"/>
        </w:rPr>
        <w:t>not just setting up a stall and waiting for people to come to them</w:t>
      </w:r>
      <w:r w:rsidR="004171AC">
        <w:rPr>
          <w:rFonts w:ascii="Segoe UI" w:eastAsia="Times New Roman" w:hAnsi="Segoe UI" w:cs="Segoe UI"/>
          <w:color w:val="000000"/>
          <w:sz w:val="21"/>
          <w:szCs w:val="21"/>
          <w:lang w:eastAsia="en-GB"/>
        </w:rPr>
        <w:t>)</w:t>
      </w:r>
      <w:r w:rsidRPr="00B1323B">
        <w:rPr>
          <w:rFonts w:ascii="Segoe UI" w:eastAsia="Times New Roman" w:hAnsi="Segoe UI" w:cs="Segoe UI"/>
          <w:color w:val="000000"/>
          <w:sz w:val="21"/>
          <w:szCs w:val="21"/>
          <w:lang w:eastAsia="en-GB"/>
        </w:rPr>
        <w:t xml:space="preserve">. </w:t>
      </w:r>
      <w:r w:rsidR="004171AC">
        <w:rPr>
          <w:rFonts w:ascii="Segoe UI" w:eastAsia="Times New Roman" w:hAnsi="Segoe UI" w:cs="Segoe UI"/>
          <w:color w:val="000000"/>
          <w:sz w:val="21"/>
          <w:szCs w:val="21"/>
          <w:lang w:eastAsia="en-GB"/>
        </w:rPr>
        <w:t xml:space="preserve">Another learning point was the </w:t>
      </w:r>
      <w:r w:rsidRPr="00B1323B">
        <w:rPr>
          <w:rFonts w:ascii="Segoe UI" w:eastAsia="Times New Roman" w:hAnsi="Segoe UI" w:cs="Segoe UI"/>
          <w:color w:val="000000"/>
          <w:sz w:val="21"/>
          <w:szCs w:val="21"/>
          <w:lang w:eastAsia="en-GB"/>
        </w:rPr>
        <w:t xml:space="preserve">direct </w:t>
      </w:r>
      <w:r w:rsidR="00D73287">
        <w:rPr>
          <w:rFonts w:ascii="Segoe UI" w:eastAsia="Times New Roman" w:hAnsi="Segoe UI" w:cs="Segoe UI"/>
          <w:color w:val="000000"/>
          <w:sz w:val="21"/>
          <w:szCs w:val="21"/>
          <w:lang w:eastAsia="en-GB"/>
        </w:rPr>
        <w:t>and</w:t>
      </w:r>
      <w:r w:rsidRPr="00B1323B">
        <w:rPr>
          <w:rFonts w:ascii="Segoe UI" w:eastAsia="Times New Roman" w:hAnsi="Segoe UI" w:cs="Segoe UI"/>
          <w:color w:val="000000"/>
          <w:sz w:val="21"/>
          <w:szCs w:val="21"/>
          <w:lang w:eastAsia="en-GB"/>
        </w:rPr>
        <w:t xml:space="preserve"> relentless promotion/holding hands </w:t>
      </w:r>
      <w:r w:rsidR="004171AC">
        <w:rPr>
          <w:rFonts w:ascii="Segoe UI" w:eastAsia="Times New Roman" w:hAnsi="Segoe UI" w:cs="Segoe UI"/>
          <w:color w:val="000000"/>
          <w:sz w:val="21"/>
          <w:szCs w:val="21"/>
          <w:lang w:eastAsia="en-GB"/>
        </w:rPr>
        <w:t xml:space="preserve">required to encourage people to </w:t>
      </w:r>
      <w:r w:rsidRPr="00B1323B">
        <w:rPr>
          <w:rFonts w:ascii="Segoe UI" w:eastAsia="Times New Roman" w:hAnsi="Segoe UI" w:cs="Segoe UI"/>
          <w:color w:val="000000"/>
          <w:sz w:val="21"/>
          <w:szCs w:val="21"/>
          <w:lang w:eastAsia="en-GB"/>
        </w:rPr>
        <w:t xml:space="preserve">come for the </w:t>
      </w:r>
      <w:r w:rsidR="004171AC">
        <w:rPr>
          <w:rFonts w:ascii="Segoe UI" w:eastAsia="Times New Roman" w:hAnsi="Segoe UI" w:cs="Segoe UI"/>
          <w:color w:val="000000"/>
          <w:sz w:val="21"/>
          <w:szCs w:val="21"/>
          <w:lang w:eastAsia="en-GB"/>
        </w:rPr>
        <w:t xml:space="preserve">quality </w:t>
      </w:r>
      <w:r w:rsidRPr="00B1323B">
        <w:rPr>
          <w:rFonts w:ascii="Segoe UI" w:eastAsia="Times New Roman" w:hAnsi="Segoe UI" w:cs="Segoe UI"/>
          <w:color w:val="000000"/>
          <w:sz w:val="21"/>
          <w:szCs w:val="21"/>
          <w:lang w:eastAsia="en-GB"/>
        </w:rPr>
        <w:t xml:space="preserve">food offer is needed. Cooking sessions developed too to increase knowledge of what people have eaten </w:t>
      </w:r>
      <w:r w:rsidR="00D73287">
        <w:rPr>
          <w:rFonts w:ascii="Segoe UI" w:eastAsia="Times New Roman" w:hAnsi="Segoe UI" w:cs="Segoe UI"/>
          <w:color w:val="000000"/>
          <w:sz w:val="21"/>
          <w:szCs w:val="21"/>
          <w:lang w:eastAsia="en-GB"/>
        </w:rPr>
        <w:t xml:space="preserve">and </w:t>
      </w:r>
      <w:r w:rsidRPr="00B1323B">
        <w:rPr>
          <w:rFonts w:ascii="Segoe UI" w:eastAsia="Times New Roman" w:hAnsi="Segoe UI" w:cs="Segoe UI"/>
          <w:color w:val="000000"/>
          <w:sz w:val="21"/>
          <w:szCs w:val="21"/>
          <w:lang w:eastAsia="en-GB"/>
        </w:rPr>
        <w:t xml:space="preserve">how </w:t>
      </w:r>
      <w:r w:rsidR="004171AC">
        <w:rPr>
          <w:rFonts w:ascii="Segoe UI" w:eastAsia="Times New Roman" w:hAnsi="Segoe UI" w:cs="Segoe UI"/>
          <w:color w:val="000000"/>
          <w:sz w:val="21"/>
          <w:szCs w:val="21"/>
          <w:lang w:eastAsia="en-GB"/>
        </w:rPr>
        <w:t xml:space="preserve">this could be replicated at </w:t>
      </w:r>
      <w:r w:rsidRPr="00B1323B">
        <w:rPr>
          <w:rFonts w:ascii="Segoe UI" w:eastAsia="Times New Roman" w:hAnsi="Segoe UI" w:cs="Segoe UI"/>
          <w:color w:val="000000"/>
          <w:sz w:val="21"/>
          <w:szCs w:val="21"/>
          <w:lang w:eastAsia="en-GB"/>
        </w:rPr>
        <w:t>home plus</w:t>
      </w:r>
      <w:r w:rsidR="004171AC">
        <w:rPr>
          <w:rFonts w:ascii="Segoe UI" w:eastAsia="Times New Roman" w:hAnsi="Segoe UI" w:cs="Segoe UI"/>
          <w:color w:val="000000"/>
          <w:sz w:val="21"/>
          <w:szCs w:val="21"/>
          <w:lang w:eastAsia="en-GB"/>
        </w:rPr>
        <w:t>.</w:t>
      </w:r>
      <w:r w:rsidRPr="00B1323B">
        <w:rPr>
          <w:rFonts w:ascii="Segoe UI" w:eastAsia="Times New Roman" w:hAnsi="Segoe UI" w:cs="Segoe UI"/>
          <w:color w:val="000000"/>
          <w:sz w:val="21"/>
          <w:szCs w:val="21"/>
          <w:lang w:eastAsia="en-GB"/>
        </w:rPr>
        <w:t xml:space="preserve"> </w:t>
      </w:r>
    </w:p>
    <w:p w14:paraId="676B7710" w14:textId="63C82A58" w:rsidR="00D73287" w:rsidRDefault="00D73287" w:rsidP="00CB3BF5">
      <w:pPr>
        <w:rPr>
          <w:rFonts w:ascii="Segoe UI" w:eastAsia="Times New Roman" w:hAnsi="Segoe UI" w:cs="Segoe UI"/>
          <w:color w:val="000000"/>
          <w:sz w:val="21"/>
          <w:szCs w:val="21"/>
          <w:lang w:eastAsia="en-GB"/>
        </w:rPr>
      </w:pPr>
    </w:p>
    <w:p w14:paraId="16035821" w14:textId="77777777" w:rsidR="00D73287" w:rsidRDefault="00D73287" w:rsidP="00D73287">
      <w:pPr>
        <w:rPr>
          <w:rFonts w:ascii="Segoe UI" w:eastAsia="Times New Roman" w:hAnsi="Segoe UI" w:cs="Segoe UI"/>
          <w:b/>
          <w:bCs/>
          <w:color w:val="000000"/>
          <w:sz w:val="21"/>
          <w:szCs w:val="21"/>
          <w:lang w:eastAsia="en-GB"/>
        </w:rPr>
      </w:pPr>
      <w:r w:rsidRPr="00D73287">
        <w:rPr>
          <w:rFonts w:ascii="Segoe UI" w:eastAsia="Times New Roman" w:hAnsi="Segoe UI" w:cs="Segoe UI"/>
          <w:b/>
          <w:bCs/>
          <w:color w:val="000000"/>
          <w:sz w:val="21"/>
          <w:szCs w:val="21"/>
          <w:lang w:eastAsia="en-GB"/>
        </w:rPr>
        <w:t>Red Tower CIC helping tackle holiday hunger</w:t>
      </w:r>
      <w:r>
        <w:rPr>
          <w:rFonts w:ascii="Segoe UI" w:eastAsia="Times New Roman" w:hAnsi="Segoe UI" w:cs="Segoe UI"/>
          <w:b/>
          <w:bCs/>
          <w:color w:val="000000"/>
          <w:sz w:val="21"/>
          <w:szCs w:val="21"/>
          <w:lang w:eastAsia="en-GB"/>
        </w:rPr>
        <w:t xml:space="preserve"> (York)</w:t>
      </w:r>
    </w:p>
    <w:p w14:paraId="4B355B6A" w14:textId="1958A9D4" w:rsidR="00D73287" w:rsidRPr="00D73287" w:rsidRDefault="00D73287" w:rsidP="00D73287">
      <w:pPr>
        <w:rPr>
          <w:rFonts w:ascii="Segoe UI" w:eastAsia="Times New Roman" w:hAnsi="Segoe UI" w:cs="Segoe UI"/>
          <w:b/>
          <w:bCs/>
          <w:color w:val="000000"/>
          <w:sz w:val="21"/>
          <w:szCs w:val="21"/>
          <w:lang w:eastAsia="en-GB"/>
        </w:rPr>
      </w:pPr>
    </w:p>
    <w:p w14:paraId="5900DBFB" w14:textId="3B3F3213" w:rsidR="00D73287" w:rsidRDefault="00D73287" w:rsidP="00D73287">
      <w:pPr>
        <w:rPr>
          <w:rFonts w:ascii="Segoe UI" w:eastAsia="Times New Roman" w:hAnsi="Segoe UI" w:cs="Segoe UI"/>
          <w:color w:val="000000"/>
          <w:sz w:val="21"/>
          <w:szCs w:val="21"/>
          <w:lang w:eastAsia="en-GB"/>
        </w:rPr>
      </w:pPr>
      <w:r w:rsidRPr="00D73287">
        <w:rPr>
          <w:rFonts w:ascii="Segoe UI" w:eastAsia="Times New Roman" w:hAnsi="Segoe UI" w:cs="Segoe UI"/>
          <w:color w:val="000000"/>
          <w:sz w:val="21"/>
          <w:szCs w:val="21"/>
          <w:lang w:eastAsia="en-GB"/>
        </w:rPr>
        <w:t xml:space="preserve">A report looking at the role played by different providers, including Red Tower Community Hub and Chapelfields and Foxwood Community Hubs in York to tackle holiday hunger (2018-2019) through holiday food and activity clubs found that attendees of the 'food club' found it harder to make ends meet during the school holidays than during the school year. Whilst the report doesn't explore impact it presents three different case studies  including the  route of Red Tower CIC from basic food provision developing into a 'service-plus' project with a rotating programme of advice, support and activity embedded. </w:t>
      </w:r>
    </w:p>
    <w:p w14:paraId="0270D7E0" w14:textId="77777777" w:rsidR="00D73287" w:rsidRPr="00D73287" w:rsidRDefault="00D73287" w:rsidP="00D73287">
      <w:pPr>
        <w:rPr>
          <w:rFonts w:ascii="Segoe UI" w:eastAsia="Times New Roman" w:hAnsi="Segoe UI" w:cs="Segoe UI"/>
          <w:color w:val="000000"/>
          <w:sz w:val="21"/>
          <w:szCs w:val="21"/>
          <w:lang w:eastAsia="en-GB"/>
        </w:rPr>
      </w:pPr>
    </w:p>
    <w:p w14:paraId="11040A4C" w14:textId="3E165F1A" w:rsidR="00D73287" w:rsidRDefault="00D73287" w:rsidP="00D73287">
      <w:pPr>
        <w:rPr>
          <w:rFonts w:ascii="Segoe UI" w:eastAsia="Times New Roman" w:hAnsi="Segoe UI" w:cs="Segoe UI"/>
          <w:color w:val="000000"/>
          <w:sz w:val="21"/>
          <w:szCs w:val="21"/>
          <w:lang w:eastAsia="en-GB"/>
        </w:rPr>
      </w:pPr>
      <w:r w:rsidRPr="00D73287">
        <w:rPr>
          <w:rFonts w:ascii="Segoe UI" w:eastAsia="Times New Roman" w:hAnsi="Segoe UI" w:cs="Segoe UI"/>
          <w:color w:val="000000"/>
          <w:sz w:val="21"/>
          <w:szCs w:val="21"/>
          <w:lang w:eastAsia="en-GB"/>
        </w:rPr>
        <w:t xml:space="preserve">Red Tower CIC’s model comprised a project manager with volunteers and a cafe (open every Monday for 7 weeks) with fresh food / lunches for every child and baked goods donated  with advice on healthy amounts, plus teas/coffees/juices and a Pay As You feel PAYF signs / donations box (takings used to cover overheads). There was also a Food 4u Shop operated upstairs (produce that couldn't be made into lunches) for people to take a bag of groceries home (£1 suggested donation per bag) and volunteers talked to people about the value of the otherwise 'free' food and encouraged people to share what was there/think about how to use it best to limit journey towards waste. There were also craft activities for children and advice giving provided by council staff if needed it on at least 2 of the weeks and toys and games provided every week by the venue. The report found certain aspects that worked well for this approach: </w:t>
      </w:r>
    </w:p>
    <w:p w14:paraId="7B4B4129" w14:textId="77777777" w:rsidR="00D73287" w:rsidRPr="00D73287" w:rsidRDefault="00D73287" w:rsidP="00D73287">
      <w:pPr>
        <w:rPr>
          <w:rFonts w:ascii="Segoe UI" w:eastAsia="Times New Roman" w:hAnsi="Segoe UI" w:cs="Segoe UI"/>
          <w:color w:val="000000"/>
          <w:sz w:val="21"/>
          <w:szCs w:val="21"/>
          <w:lang w:eastAsia="en-GB"/>
        </w:rPr>
      </w:pPr>
    </w:p>
    <w:p w14:paraId="630BBE7A" w14:textId="77777777" w:rsidR="00D73287" w:rsidRPr="00F96C7E" w:rsidRDefault="00D73287" w:rsidP="00D73287">
      <w:pPr>
        <w:pStyle w:val="ListParagraph"/>
        <w:numPr>
          <w:ilvl w:val="0"/>
          <w:numId w:val="20"/>
        </w:numPr>
        <w:rPr>
          <w:rFonts w:ascii="Segoe UI" w:hAnsi="Segoe UI" w:cs="Segoe UI"/>
          <w:sz w:val="21"/>
          <w:szCs w:val="21"/>
        </w:rPr>
      </w:pPr>
      <w:r w:rsidRPr="00F96C7E">
        <w:rPr>
          <w:rFonts w:ascii="Segoe UI" w:hAnsi="Segoe UI" w:cs="Segoe UI"/>
          <w:sz w:val="21"/>
          <w:szCs w:val="21"/>
        </w:rPr>
        <w:t xml:space="preserve">Outdoor well-being: The garden was enjoyed by customers young and old every week; in the beautiful sunshine mainly and even in the downpours (children literally dancing in the rain.) </w:t>
      </w:r>
    </w:p>
    <w:p w14:paraId="5497495A" w14:textId="77777777" w:rsidR="00D73287" w:rsidRPr="00F96C7E" w:rsidRDefault="00D73287" w:rsidP="00D73287">
      <w:pPr>
        <w:pStyle w:val="ListParagraph"/>
        <w:numPr>
          <w:ilvl w:val="0"/>
          <w:numId w:val="20"/>
        </w:numPr>
        <w:rPr>
          <w:rFonts w:ascii="Segoe UI" w:hAnsi="Segoe UI" w:cs="Segoe UI"/>
          <w:sz w:val="21"/>
          <w:szCs w:val="21"/>
        </w:rPr>
      </w:pPr>
      <w:r w:rsidRPr="00F96C7E">
        <w:rPr>
          <w:rFonts w:ascii="Segoe UI" w:hAnsi="Segoe UI" w:cs="Segoe UI"/>
          <w:sz w:val="21"/>
          <w:szCs w:val="21"/>
        </w:rPr>
        <w:t xml:space="preserve">Inclusion: Elder neighbours enjoyed a sit-down, a hearty lunch and others to chat to; Some neighbours who had not been keen on the project to begin with, came to eat at the cafe by the end of the holiday period; People of minority ethnic origin came to the cafe. </w:t>
      </w:r>
    </w:p>
    <w:p w14:paraId="4AE5E546" w14:textId="77777777" w:rsidR="00D73287" w:rsidRPr="00F96C7E" w:rsidRDefault="00D73287" w:rsidP="00D73287">
      <w:pPr>
        <w:pStyle w:val="ListParagraph"/>
        <w:numPr>
          <w:ilvl w:val="0"/>
          <w:numId w:val="20"/>
        </w:numPr>
        <w:rPr>
          <w:rFonts w:ascii="Segoe UI" w:hAnsi="Segoe UI" w:cs="Segoe UI"/>
          <w:sz w:val="21"/>
          <w:szCs w:val="21"/>
        </w:rPr>
      </w:pPr>
      <w:r w:rsidRPr="00F96C7E">
        <w:rPr>
          <w:rFonts w:ascii="Segoe UI" w:hAnsi="Segoe UI" w:cs="Segoe UI"/>
          <w:sz w:val="21"/>
          <w:szCs w:val="21"/>
        </w:rPr>
        <w:t xml:space="preserve">Alleviating hunger: There was enough tasty, varied food for everyone  volunteers included  every week. Left-over food was taken away by volunteers to feed people at home. </w:t>
      </w:r>
    </w:p>
    <w:p w14:paraId="709997A0" w14:textId="77777777" w:rsidR="00D73287" w:rsidRPr="00F96C7E" w:rsidRDefault="00D73287" w:rsidP="00D73287">
      <w:pPr>
        <w:pStyle w:val="ListParagraph"/>
        <w:numPr>
          <w:ilvl w:val="0"/>
          <w:numId w:val="20"/>
        </w:numPr>
        <w:rPr>
          <w:rFonts w:ascii="Segoe UI" w:hAnsi="Segoe UI" w:cs="Segoe UI"/>
          <w:sz w:val="21"/>
          <w:szCs w:val="21"/>
        </w:rPr>
      </w:pPr>
      <w:r w:rsidRPr="00F96C7E">
        <w:rPr>
          <w:rFonts w:ascii="Segoe UI" w:hAnsi="Segoe UI" w:cs="Segoe UI"/>
          <w:sz w:val="21"/>
          <w:szCs w:val="21"/>
        </w:rPr>
        <w:t>Zero-Waste: In total approx. 785kg of food was intercepted before being sent to landfill. All recyclable products and waste food was collected for proper disposal by a local compost expert.</w:t>
      </w:r>
    </w:p>
    <w:p w14:paraId="4F5AD63A" w14:textId="77777777" w:rsidR="00D73287" w:rsidRPr="00F96C7E" w:rsidRDefault="00D73287" w:rsidP="00D73287">
      <w:pPr>
        <w:pStyle w:val="ListParagraph"/>
        <w:numPr>
          <w:ilvl w:val="0"/>
          <w:numId w:val="20"/>
        </w:numPr>
        <w:rPr>
          <w:rFonts w:ascii="Segoe UI" w:hAnsi="Segoe UI" w:cs="Segoe UI"/>
          <w:sz w:val="21"/>
          <w:szCs w:val="21"/>
        </w:rPr>
      </w:pPr>
      <w:r w:rsidRPr="00F96C7E">
        <w:rPr>
          <w:rFonts w:ascii="Segoe UI" w:hAnsi="Segoe UI" w:cs="Segoe UI"/>
          <w:sz w:val="21"/>
          <w:szCs w:val="21"/>
        </w:rPr>
        <w:t xml:space="preserve">Volunteer experience: 1 intern, 1 coordinator (with one lady piloting her own cafe-concept), 2 staff from the CIC and 13 other volunteers repeatedly contributed their time, resources and enthusiasm. They appeared to benefit, get along well and enjoy it. </w:t>
      </w:r>
    </w:p>
    <w:p w14:paraId="6AD947B5" w14:textId="77777777" w:rsidR="00D73287" w:rsidRPr="00F96C7E" w:rsidRDefault="00D73287" w:rsidP="00D73287">
      <w:pPr>
        <w:rPr>
          <w:rFonts w:ascii="Segoe UI" w:hAnsi="Segoe UI" w:cs="Segoe UI"/>
        </w:rPr>
      </w:pPr>
    </w:p>
    <w:p w14:paraId="2CA0E663" w14:textId="77777777" w:rsidR="00D73287" w:rsidRPr="00D73287" w:rsidRDefault="00D73287" w:rsidP="00D73287">
      <w:pPr>
        <w:rPr>
          <w:rFonts w:ascii="Segoe UI" w:hAnsi="Segoe UI" w:cs="Segoe UI"/>
          <w:sz w:val="21"/>
          <w:szCs w:val="21"/>
        </w:rPr>
      </w:pPr>
      <w:r w:rsidRPr="00D73287">
        <w:rPr>
          <w:rFonts w:ascii="Segoe UI" w:hAnsi="Segoe UI" w:cs="Segoe UI"/>
          <w:sz w:val="21"/>
          <w:szCs w:val="21"/>
        </w:rPr>
        <w:t xml:space="preserve">There were also some wider benefits. Feedback from OCAY, a local advocacy organisation said that they got more potential users of their services than they did when they ran some standalone </w:t>
      </w:r>
      <w:r w:rsidRPr="00D73287">
        <w:rPr>
          <w:rFonts w:ascii="Segoe UI" w:hAnsi="Segoe UI" w:cs="Segoe UI"/>
          <w:sz w:val="21"/>
          <w:szCs w:val="21"/>
        </w:rPr>
        <w:lastRenderedPageBreak/>
        <w:t xml:space="preserve">events at Red Tower. It showed that the basic idea of a PAYF meal and shop with advice available, it people want it, will work better together than splitting it into two events. </w:t>
      </w:r>
    </w:p>
    <w:p w14:paraId="33B332B7" w14:textId="77777777" w:rsidR="00D73287" w:rsidRPr="00D73287" w:rsidRDefault="00D73287" w:rsidP="00D73287">
      <w:pPr>
        <w:rPr>
          <w:rFonts w:ascii="Segoe UI" w:hAnsi="Segoe UI" w:cs="Segoe UI"/>
          <w:sz w:val="21"/>
          <w:szCs w:val="21"/>
        </w:rPr>
      </w:pPr>
      <w:r w:rsidRPr="00D73287">
        <w:rPr>
          <w:rFonts w:ascii="Segoe UI" w:hAnsi="Segoe UI" w:cs="Segoe UI"/>
          <w:b/>
          <w:bCs/>
          <w:sz w:val="21"/>
          <w:szCs w:val="21"/>
        </w:rPr>
        <w:t>Persistence of the model</w:t>
      </w:r>
      <w:r w:rsidRPr="00D73287">
        <w:rPr>
          <w:rFonts w:ascii="Segoe UI" w:hAnsi="Segoe UI" w:cs="Segoe UI"/>
          <w:sz w:val="21"/>
          <w:szCs w:val="21"/>
        </w:rPr>
        <w:t>: The PAYF lunch and food shop was going well on Mondays in 2019 and the aim was to continue running this, as there were frequently more than 50 people coming  along. The kitchen equipment received in the autumn was working well. More craft workshops were being delivered and more organisations were offering advice including the credit union, OCAY, Healthwatch and North Yorkshire Police. The Guildhall Ward local area co-ordinator was also coming every week.</w:t>
      </w:r>
    </w:p>
    <w:p w14:paraId="110D6DAE" w14:textId="77777777" w:rsidR="00D73287" w:rsidRPr="00D73287" w:rsidRDefault="00D73287" w:rsidP="00CB3BF5">
      <w:pPr>
        <w:rPr>
          <w:rFonts w:ascii="Segoe UI" w:eastAsia="Times New Roman" w:hAnsi="Segoe UI" w:cs="Segoe UI"/>
          <w:color w:val="000000"/>
          <w:sz w:val="21"/>
          <w:szCs w:val="21"/>
          <w:lang w:eastAsia="en-GB"/>
        </w:rPr>
      </w:pPr>
    </w:p>
    <w:p w14:paraId="54CFEE5F" w14:textId="77777777" w:rsidR="00D73287" w:rsidRPr="00D73287" w:rsidRDefault="00D73287" w:rsidP="00CB3BF5">
      <w:pPr>
        <w:rPr>
          <w:rFonts w:ascii="Segoe UI" w:hAnsi="Segoe UI" w:cs="Segoe UI"/>
          <w:b/>
          <w:bCs/>
          <w:sz w:val="21"/>
          <w:szCs w:val="21"/>
        </w:rPr>
      </w:pPr>
      <w:r w:rsidRPr="00D73287">
        <w:rPr>
          <w:rFonts w:ascii="Segoe UI" w:hAnsi="Segoe UI" w:cs="Segoe UI"/>
          <w:b/>
          <w:bCs/>
          <w:sz w:val="21"/>
          <w:szCs w:val="21"/>
        </w:rPr>
        <w:t>Rose Vouchers</w:t>
      </w:r>
    </w:p>
    <w:p w14:paraId="0A89D5A2" w14:textId="759F38DE" w:rsidR="00CB3BF5" w:rsidRPr="00E01051" w:rsidRDefault="00D73287" w:rsidP="00CB3BF5">
      <w:pPr>
        <w:rPr>
          <w:rFonts w:ascii="Segoe UI" w:hAnsi="Segoe UI" w:cs="Segoe UI"/>
          <w:sz w:val="21"/>
          <w:szCs w:val="21"/>
        </w:rPr>
      </w:pPr>
      <w:r>
        <w:rPr>
          <w:rFonts w:ascii="Segoe UI" w:hAnsi="Segoe UI" w:cs="Segoe UI"/>
          <w:sz w:val="21"/>
          <w:szCs w:val="21"/>
        </w:rPr>
        <w:t>This e</w:t>
      </w:r>
      <w:r w:rsidR="00CB3BF5" w:rsidRPr="00E01051">
        <w:rPr>
          <w:rFonts w:ascii="Segoe UI" w:hAnsi="Segoe UI" w:cs="Segoe UI"/>
          <w:sz w:val="21"/>
          <w:szCs w:val="21"/>
        </w:rPr>
        <w:t>xample is selected because it is an approach that has been refined, adopted more widely, and with significant ambition to grow.</w:t>
      </w:r>
      <w:r>
        <w:rPr>
          <w:rFonts w:ascii="Segoe UI" w:hAnsi="Segoe UI" w:cs="Segoe UI"/>
          <w:sz w:val="21"/>
          <w:szCs w:val="21"/>
        </w:rPr>
        <w:t xml:space="preserve"> </w:t>
      </w:r>
      <w:r w:rsidR="00CB3BF5" w:rsidRPr="00E01051">
        <w:rPr>
          <w:rFonts w:ascii="Segoe UI" w:hAnsi="Segoe UI" w:cs="Segoe UI"/>
          <w:sz w:val="21"/>
          <w:szCs w:val="21"/>
        </w:rPr>
        <w:t>The Rose Vouchers for Fruit and Veg is an Alexandra Rose Charity project designed and delivered in partnership with Food Matters. Projects provide vouchers for fruit and vegetables to low-income families who have children aged 4 and under. Vouchers are collected at Children’s Centres and redeemed at independent retailers in the local community, supporting the local economy</w:t>
      </w:r>
      <w:r w:rsidR="00CB3BF5" w:rsidRPr="00E01051">
        <w:rPr>
          <w:rStyle w:val="EndnoteReference"/>
          <w:rFonts w:ascii="Segoe UI" w:hAnsi="Segoe UI" w:cs="Segoe UI"/>
          <w:sz w:val="21"/>
          <w:szCs w:val="21"/>
        </w:rPr>
        <w:endnoteReference w:id="9"/>
      </w:r>
      <w:r w:rsidR="00CB3BF5" w:rsidRPr="00E01051">
        <w:rPr>
          <w:rFonts w:ascii="Segoe UI" w:hAnsi="Segoe UI" w:cs="Segoe UI"/>
          <w:sz w:val="21"/>
          <w:szCs w:val="21"/>
        </w:rPr>
        <w:t xml:space="preserve"> and to give their children the healthiest possible start. The ambition of the charity is to increase the scale of their offer five-fold by 2025.</w:t>
      </w:r>
      <w:r w:rsidR="00CB3BF5" w:rsidRPr="00E01051">
        <w:rPr>
          <w:rStyle w:val="EndnoteReference"/>
          <w:rFonts w:ascii="Segoe UI" w:hAnsi="Segoe UI" w:cs="Segoe UI"/>
          <w:sz w:val="21"/>
          <w:szCs w:val="21"/>
        </w:rPr>
        <w:endnoteReference w:id="10"/>
      </w:r>
      <w:r w:rsidR="00CB3BF5" w:rsidRPr="00E01051">
        <w:rPr>
          <w:rFonts w:ascii="Segoe UI" w:hAnsi="Segoe UI" w:cs="Segoe UI"/>
          <w:sz w:val="21"/>
          <w:szCs w:val="21"/>
        </w:rPr>
        <w:t xml:space="preserve"> To achieve this however, a more (more) sustainable, balanced funding mix will be required.</w:t>
      </w:r>
    </w:p>
    <w:p w14:paraId="64D56A89" w14:textId="77777777" w:rsidR="00CB3BF5" w:rsidRPr="00E01051" w:rsidRDefault="00CB3BF5" w:rsidP="00CB3BF5">
      <w:pPr>
        <w:rPr>
          <w:rFonts w:ascii="Segoe UI" w:hAnsi="Segoe UI" w:cs="Segoe UI"/>
          <w:sz w:val="21"/>
          <w:szCs w:val="21"/>
        </w:rPr>
      </w:pPr>
    </w:p>
    <w:p w14:paraId="6A64FCEF" w14:textId="77777777" w:rsidR="00CB3BF5" w:rsidRPr="00E01051" w:rsidRDefault="00CB3BF5" w:rsidP="00CB3BF5">
      <w:pPr>
        <w:pBdr>
          <w:top w:val="single" w:sz="4" w:space="1" w:color="auto"/>
          <w:left w:val="single" w:sz="4" w:space="4" w:color="auto"/>
          <w:bottom w:val="single" w:sz="4" w:space="1" w:color="auto"/>
          <w:right w:val="single" w:sz="4" w:space="4" w:color="auto"/>
        </w:pBdr>
        <w:rPr>
          <w:rFonts w:ascii="Segoe UI" w:hAnsi="Segoe UI" w:cs="Segoe UI"/>
          <w:sz w:val="21"/>
          <w:szCs w:val="21"/>
        </w:rPr>
      </w:pPr>
      <w:r w:rsidRPr="00E01051">
        <w:rPr>
          <w:rFonts w:ascii="Segoe UI" w:hAnsi="Segoe UI" w:cs="Segoe UI"/>
          <w:sz w:val="21"/>
          <w:szCs w:val="21"/>
        </w:rPr>
        <w:t>Evaluation results from Lambeth showed</w:t>
      </w:r>
      <w:r w:rsidRPr="00E01051">
        <w:rPr>
          <w:rStyle w:val="EndnoteReference"/>
          <w:rFonts w:ascii="Segoe UI" w:hAnsi="Segoe UI" w:cs="Segoe UI"/>
          <w:sz w:val="21"/>
          <w:szCs w:val="21"/>
        </w:rPr>
        <w:endnoteReference w:id="11"/>
      </w:r>
      <w:r w:rsidRPr="00E01051">
        <w:rPr>
          <w:rFonts w:ascii="Segoe UI" w:hAnsi="Segoe UI" w:cs="Segoe UI"/>
          <w:sz w:val="21"/>
          <w:szCs w:val="21"/>
        </w:rPr>
        <w:t>.</w:t>
      </w:r>
    </w:p>
    <w:p w14:paraId="3F483DA2" w14:textId="77777777" w:rsidR="00CB3BF5" w:rsidRPr="00E01051" w:rsidRDefault="00CB3BF5" w:rsidP="00CB3BF5">
      <w:pPr>
        <w:pStyle w:val="ListParagraph"/>
        <w:numPr>
          <w:ilvl w:val="0"/>
          <w:numId w:val="14"/>
        </w:numPr>
        <w:pBdr>
          <w:top w:val="single" w:sz="4" w:space="1" w:color="auto"/>
          <w:left w:val="single" w:sz="4" w:space="4" w:color="auto"/>
          <w:bottom w:val="single" w:sz="4" w:space="1" w:color="auto"/>
          <w:right w:val="single" w:sz="4" w:space="4" w:color="auto"/>
        </w:pBdr>
        <w:ind w:hanging="720"/>
        <w:rPr>
          <w:rFonts w:ascii="Segoe UI" w:hAnsi="Segoe UI" w:cs="Segoe UI"/>
          <w:sz w:val="21"/>
          <w:szCs w:val="21"/>
        </w:rPr>
      </w:pPr>
      <w:r w:rsidRPr="00E01051">
        <w:rPr>
          <w:rFonts w:ascii="Segoe UI" w:hAnsi="Segoe UI" w:cs="Segoe UI"/>
          <w:sz w:val="21"/>
          <w:szCs w:val="21"/>
        </w:rPr>
        <w:t xml:space="preserve">90% of adults and 95% of children are eating more fresh vegetables </w:t>
      </w:r>
    </w:p>
    <w:p w14:paraId="51713D67" w14:textId="77777777" w:rsidR="00CB3BF5" w:rsidRPr="00E01051" w:rsidRDefault="00CB3BF5" w:rsidP="00CB3BF5">
      <w:pPr>
        <w:pStyle w:val="ListParagraph"/>
        <w:numPr>
          <w:ilvl w:val="0"/>
          <w:numId w:val="14"/>
        </w:numPr>
        <w:pBdr>
          <w:top w:val="single" w:sz="4" w:space="1" w:color="auto"/>
          <w:left w:val="single" w:sz="4" w:space="4" w:color="auto"/>
          <w:bottom w:val="single" w:sz="4" w:space="1" w:color="auto"/>
          <w:right w:val="single" w:sz="4" w:space="4" w:color="auto"/>
        </w:pBdr>
        <w:ind w:hanging="720"/>
        <w:rPr>
          <w:rFonts w:ascii="Segoe UI" w:hAnsi="Segoe UI" w:cs="Segoe UI"/>
          <w:sz w:val="21"/>
          <w:szCs w:val="21"/>
        </w:rPr>
      </w:pPr>
      <w:r w:rsidRPr="00E01051">
        <w:rPr>
          <w:rFonts w:ascii="Segoe UI" w:hAnsi="Segoe UI" w:cs="Segoe UI"/>
          <w:sz w:val="21"/>
          <w:szCs w:val="21"/>
        </w:rPr>
        <w:t>92% of families say they are feeling healthier 95% felt happier</w:t>
      </w:r>
    </w:p>
    <w:p w14:paraId="004D7230" w14:textId="2DE44EF3" w:rsidR="00CB3BF5" w:rsidRPr="00E01051" w:rsidRDefault="00CB3BF5" w:rsidP="00CB3BF5">
      <w:pPr>
        <w:pStyle w:val="ListParagraph"/>
        <w:numPr>
          <w:ilvl w:val="0"/>
          <w:numId w:val="14"/>
        </w:numPr>
        <w:pBdr>
          <w:top w:val="single" w:sz="4" w:space="1" w:color="auto"/>
          <w:left w:val="single" w:sz="4" w:space="4" w:color="auto"/>
          <w:bottom w:val="single" w:sz="4" w:space="1" w:color="auto"/>
          <w:right w:val="single" w:sz="4" w:space="4" w:color="auto"/>
        </w:pBdr>
        <w:ind w:hanging="720"/>
        <w:rPr>
          <w:rFonts w:ascii="Segoe UI" w:hAnsi="Segoe UI" w:cs="Segoe UI"/>
          <w:sz w:val="21"/>
          <w:szCs w:val="21"/>
        </w:rPr>
      </w:pPr>
      <w:r w:rsidRPr="00E01051">
        <w:rPr>
          <w:rFonts w:ascii="Segoe UI" w:hAnsi="Segoe UI" w:cs="Segoe UI"/>
          <w:sz w:val="21"/>
          <w:szCs w:val="21"/>
        </w:rPr>
        <w:t>87% of families say they are eating more home cooked meals</w:t>
      </w:r>
      <w:r w:rsidR="001F7218" w:rsidRPr="00E01051">
        <w:rPr>
          <w:rFonts w:ascii="Segoe UI" w:hAnsi="Segoe UI" w:cs="Segoe UI"/>
          <w:sz w:val="21"/>
          <w:szCs w:val="21"/>
        </w:rPr>
        <w:t xml:space="preserve">. </w:t>
      </w:r>
    </w:p>
    <w:p w14:paraId="74B5B258" w14:textId="25BE6795" w:rsidR="00CB3BF5" w:rsidRDefault="00CB3BF5" w:rsidP="005232CF">
      <w:pPr>
        <w:rPr>
          <w:rFonts w:ascii="Segoe UI" w:hAnsi="Segoe UI" w:cs="Segoe UI"/>
          <w:b/>
          <w:bCs/>
          <w:sz w:val="21"/>
          <w:szCs w:val="21"/>
        </w:rPr>
      </w:pPr>
    </w:p>
    <w:p w14:paraId="7B032F3A" w14:textId="77777777" w:rsidR="00CB3BF5" w:rsidRDefault="00CB3BF5" w:rsidP="00CB3BF5">
      <w:pPr>
        <w:rPr>
          <w:rFonts w:ascii="Segoe UI" w:hAnsi="Segoe UI" w:cs="Segoe UI"/>
          <w:b/>
          <w:bCs/>
          <w:sz w:val="28"/>
          <w:szCs w:val="28"/>
        </w:rPr>
      </w:pPr>
      <w:r>
        <w:rPr>
          <w:rFonts w:ascii="Segoe UI" w:hAnsi="Segoe UI" w:cs="Segoe UI"/>
          <w:b/>
          <w:bCs/>
          <w:sz w:val="28"/>
          <w:szCs w:val="28"/>
        </w:rPr>
        <w:t>Learning</w:t>
      </w:r>
    </w:p>
    <w:p w14:paraId="14988231" w14:textId="77777777" w:rsidR="00CB3BF5" w:rsidRDefault="00CB3BF5" w:rsidP="005232CF">
      <w:pPr>
        <w:rPr>
          <w:rFonts w:ascii="Segoe UI" w:hAnsi="Segoe UI" w:cs="Segoe UI"/>
          <w:b/>
          <w:bCs/>
          <w:sz w:val="21"/>
          <w:szCs w:val="21"/>
        </w:rPr>
      </w:pPr>
    </w:p>
    <w:p w14:paraId="39B2462D" w14:textId="485B616F" w:rsidR="00B12290" w:rsidRPr="00A90A25" w:rsidRDefault="00B12290" w:rsidP="005232CF">
      <w:pPr>
        <w:rPr>
          <w:rFonts w:ascii="Segoe UI" w:hAnsi="Segoe UI" w:cs="Segoe UI"/>
          <w:b/>
          <w:bCs/>
          <w:sz w:val="21"/>
          <w:szCs w:val="21"/>
        </w:rPr>
      </w:pPr>
      <w:r w:rsidRPr="00A90A25">
        <w:rPr>
          <w:rFonts w:ascii="Segoe UI" w:hAnsi="Segoe UI" w:cs="Segoe UI"/>
          <w:b/>
          <w:bCs/>
          <w:sz w:val="21"/>
          <w:szCs w:val="21"/>
        </w:rPr>
        <w:t xml:space="preserve">Enablers / </w:t>
      </w:r>
      <w:r w:rsidR="00892673" w:rsidRPr="00A90A25">
        <w:rPr>
          <w:rFonts w:ascii="Segoe UI" w:hAnsi="Segoe UI" w:cs="Segoe UI"/>
          <w:b/>
          <w:bCs/>
          <w:sz w:val="21"/>
          <w:szCs w:val="21"/>
        </w:rPr>
        <w:t>barriers</w:t>
      </w:r>
    </w:p>
    <w:p w14:paraId="0052D5A8" w14:textId="7A3FC299" w:rsidR="00892673" w:rsidRPr="00A90A25" w:rsidRDefault="00892673" w:rsidP="00B12290">
      <w:pPr>
        <w:rPr>
          <w:rFonts w:ascii="Segoe UI" w:hAnsi="Segoe UI" w:cs="Segoe UI"/>
          <w:sz w:val="21"/>
          <w:szCs w:val="21"/>
        </w:rPr>
      </w:pPr>
      <w:r w:rsidRPr="00A90A25">
        <w:rPr>
          <w:rFonts w:ascii="Segoe UI" w:hAnsi="Segoe UI" w:cs="Segoe UI"/>
          <w:sz w:val="21"/>
          <w:szCs w:val="21"/>
        </w:rPr>
        <w:t>The literature identifies a range of enabling factors, alongside barriers.</w:t>
      </w:r>
    </w:p>
    <w:p w14:paraId="614ECC38" w14:textId="66F73F91" w:rsidR="00892673" w:rsidRPr="00A90A25" w:rsidRDefault="00892673" w:rsidP="00B12290">
      <w:pPr>
        <w:rPr>
          <w:rFonts w:ascii="Segoe UI" w:hAnsi="Segoe UI" w:cs="Segoe UI"/>
          <w:sz w:val="21"/>
          <w:szCs w:val="21"/>
        </w:rPr>
      </w:pPr>
    </w:p>
    <w:p w14:paraId="4FAC2E12" w14:textId="77777777" w:rsidR="00892673" w:rsidRPr="00A90A25" w:rsidRDefault="00892673" w:rsidP="00892673">
      <w:pPr>
        <w:rPr>
          <w:rFonts w:ascii="Segoe UI" w:hAnsi="Segoe UI" w:cs="Segoe UI"/>
          <w:sz w:val="21"/>
          <w:szCs w:val="21"/>
        </w:rPr>
        <w:sectPr w:rsidR="00892673" w:rsidRPr="00A90A25" w:rsidSect="00F341EE">
          <w:endnotePr>
            <w:numFmt w:val="decimal"/>
          </w:endnotePr>
          <w:type w:val="continuous"/>
          <w:pgSz w:w="11900" w:h="16840"/>
          <w:pgMar w:top="1440" w:right="1440" w:bottom="1440" w:left="1440" w:header="708" w:footer="708" w:gutter="0"/>
          <w:cols w:space="708"/>
          <w:docGrid w:linePitch="360"/>
        </w:sectPr>
      </w:pPr>
    </w:p>
    <w:p w14:paraId="00288157" w14:textId="77777777" w:rsidR="00892673" w:rsidRPr="00A90A25" w:rsidRDefault="00892673" w:rsidP="00892673">
      <w:pPr>
        <w:rPr>
          <w:rFonts w:ascii="Segoe UI" w:hAnsi="Segoe UI" w:cs="Segoe UI"/>
          <w:sz w:val="21"/>
          <w:szCs w:val="21"/>
          <w:u w:val="single"/>
        </w:rPr>
      </w:pPr>
      <w:r w:rsidRPr="00A90A25">
        <w:rPr>
          <w:rFonts w:ascii="Segoe UI" w:hAnsi="Segoe UI" w:cs="Segoe UI"/>
          <w:sz w:val="21"/>
          <w:szCs w:val="21"/>
          <w:u w:val="single"/>
        </w:rPr>
        <w:t>Enabling ingredients:</w:t>
      </w:r>
    </w:p>
    <w:p w14:paraId="2CF69EBA" w14:textId="77777777"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‘Contextualised – tailored to local needs</w:t>
      </w:r>
    </w:p>
    <w:p w14:paraId="0C34214A" w14:textId="77777777"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Mix of approaches to meet different needs – through local partnerships</w:t>
      </w:r>
    </w:p>
    <w:p w14:paraId="2950F9C1" w14:textId="4B507A03" w:rsidR="00892673" w:rsidRPr="00AA4AC4" w:rsidRDefault="00892673" w:rsidP="00AA4AC4">
      <w:pPr>
        <w:numPr>
          <w:ilvl w:val="0"/>
          <w:numId w:val="9"/>
        </w:numPr>
        <w:rPr>
          <w:rFonts w:ascii="Segoe UI" w:hAnsi="Segoe UI" w:cs="Segoe UI"/>
          <w:sz w:val="21"/>
          <w:szCs w:val="21"/>
        </w:rPr>
      </w:pPr>
      <w:r w:rsidRPr="00A90A25">
        <w:rPr>
          <w:rFonts w:ascii="Segoe UI" w:hAnsi="Segoe UI" w:cs="Segoe UI"/>
          <w:sz w:val="21"/>
          <w:szCs w:val="21"/>
        </w:rPr>
        <w:t>More than FSM, for example, FSM+15%. Or</w:t>
      </w:r>
      <w:r w:rsidR="00AA4AC4">
        <w:rPr>
          <w:rFonts w:ascii="Segoe UI" w:hAnsi="Segoe UI" w:cs="Segoe UI"/>
          <w:sz w:val="21"/>
          <w:szCs w:val="21"/>
        </w:rPr>
        <w:t xml:space="preserve"> ‘</w:t>
      </w:r>
      <w:r w:rsidRPr="00AA4AC4">
        <w:rPr>
          <w:rFonts w:ascii="Segoe UI" w:hAnsi="Segoe UI" w:cs="Segoe UI"/>
          <w:sz w:val="21"/>
          <w:szCs w:val="21"/>
        </w:rPr>
        <w:t>Open to all</w:t>
      </w:r>
      <w:r w:rsidR="00AA4AC4">
        <w:rPr>
          <w:rFonts w:ascii="Segoe UI" w:hAnsi="Segoe UI" w:cs="Segoe UI"/>
          <w:sz w:val="21"/>
          <w:szCs w:val="21"/>
        </w:rPr>
        <w:t>’</w:t>
      </w:r>
      <w:r w:rsidRPr="00AA4AC4">
        <w:rPr>
          <w:rFonts w:ascii="Segoe UI" w:hAnsi="Segoe UI" w:cs="Segoe UI"/>
          <w:sz w:val="21"/>
          <w:szCs w:val="21"/>
        </w:rPr>
        <w:t xml:space="preserve"> - equality of opportunity</w:t>
      </w:r>
    </w:p>
    <w:p w14:paraId="228A20BB" w14:textId="77777777"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Parents can eat too, or unused food can be taken home</w:t>
      </w:r>
    </w:p>
    <w:p w14:paraId="28166194" w14:textId="77777777"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Opportunities for participants and volunteers to build relationships</w:t>
      </w:r>
    </w:p>
    <w:p w14:paraId="7DAA34B7" w14:textId="77777777"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Food vouchers reduce the risk of trying new food / wasting money</w:t>
      </w:r>
    </w:p>
    <w:p w14:paraId="05B55B67" w14:textId="605D9108" w:rsidR="00892673" w:rsidRDefault="00892673" w:rsidP="00892673">
      <w:pPr>
        <w:numPr>
          <w:ilvl w:val="0"/>
          <w:numId w:val="9"/>
        </w:numPr>
        <w:rPr>
          <w:rFonts w:ascii="Segoe UI" w:hAnsi="Segoe UI" w:cs="Segoe UI"/>
          <w:sz w:val="21"/>
          <w:szCs w:val="21"/>
        </w:rPr>
      </w:pPr>
      <w:r w:rsidRPr="00A90A25">
        <w:rPr>
          <w:rFonts w:ascii="Segoe UI" w:hAnsi="Segoe UI" w:cs="Segoe UI"/>
          <w:sz w:val="21"/>
          <w:szCs w:val="21"/>
        </w:rPr>
        <w:t>Deliverers include voices of lived experience</w:t>
      </w:r>
      <w:r w:rsidR="00AA4AC4">
        <w:rPr>
          <w:rFonts w:ascii="Segoe UI" w:hAnsi="Segoe UI" w:cs="Segoe UI"/>
          <w:sz w:val="21"/>
          <w:szCs w:val="21"/>
        </w:rPr>
        <w:t xml:space="preserve"> </w:t>
      </w:r>
    </w:p>
    <w:p w14:paraId="0091C13E" w14:textId="00C47602" w:rsidR="00AA4AC4" w:rsidRPr="00A90A25" w:rsidRDefault="00AA4AC4" w:rsidP="00892673">
      <w:pPr>
        <w:numPr>
          <w:ilvl w:val="0"/>
          <w:numId w:val="9"/>
        </w:numPr>
        <w:rPr>
          <w:rFonts w:ascii="Segoe UI" w:hAnsi="Segoe UI" w:cs="Segoe UI"/>
          <w:sz w:val="21"/>
          <w:szCs w:val="21"/>
        </w:rPr>
      </w:pPr>
      <w:r>
        <w:rPr>
          <w:rFonts w:ascii="Segoe UI" w:hAnsi="Segoe UI" w:cs="Segoe UI"/>
          <w:sz w:val="21"/>
          <w:szCs w:val="21"/>
        </w:rPr>
        <w:t xml:space="preserve">Involvement of VCSEs with deeper links to target communities </w:t>
      </w:r>
    </w:p>
    <w:p w14:paraId="198028E8" w14:textId="75C6A05C" w:rsidR="00892673" w:rsidRPr="00A90A25" w:rsidRDefault="00892673" w:rsidP="00892673">
      <w:pPr>
        <w:numPr>
          <w:ilvl w:val="0"/>
          <w:numId w:val="9"/>
        </w:numPr>
        <w:rPr>
          <w:rFonts w:ascii="Segoe UI" w:hAnsi="Segoe UI" w:cs="Segoe UI"/>
          <w:sz w:val="21"/>
          <w:szCs w:val="21"/>
        </w:rPr>
      </w:pPr>
      <w:r w:rsidRPr="00A90A25">
        <w:rPr>
          <w:rFonts w:ascii="Segoe UI" w:hAnsi="Segoe UI" w:cs="Segoe UI"/>
          <w:sz w:val="21"/>
          <w:szCs w:val="21"/>
        </w:rPr>
        <w:t xml:space="preserve">Communicated and promoted through multiple channels – “requires </w:t>
      </w:r>
      <w:r w:rsidR="00137098" w:rsidRPr="00A90A25">
        <w:rPr>
          <w:rFonts w:ascii="Segoe UI" w:hAnsi="Segoe UI" w:cs="Segoe UI"/>
          <w:sz w:val="21"/>
          <w:szCs w:val="21"/>
        </w:rPr>
        <w:t>more</w:t>
      </w:r>
      <w:r w:rsidRPr="00A90A25">
        <w:rPr>
          <w:rFonts w:ascii="Segoe UI" w:hAnsi="Segoe UI" w:cs="Segoe UI"/>
          <w:sz w:val="21"/>
          <w:szCs w:val="21"/>
        </w:rPr>
        <w:t xml:space="preserve"> direct and relentless promotion.”</w:t>
      </w:r>
    </w:p>
    <w:p w14:paraId="5E7A0805" w14:textId="77777777" w:rsidR="00892673" w:rsidRPr="00A90A25" w:rsidRDefault="00892673" w:rsidP="00B12290">
      <w:pPr>
        <w:rPr>
          <w:rFonts w:ascii="Segoe UI" w:hAnsi="Segoe UI" w:cs="Segoe UI"/>
          <w:sz w:val="21"/>
          <w:szCs w:val="21"/>
        </w:rPr>
      </w:pPr>
    </w:p>
    <w:p w14:paraId="6417251A" w14:textId="3D4D6DCC" w:rsidR="00892673" w:rsidRPr="00A90A25" w:rsidRDefault="00892673" w:rsidP="00B12290">
      <w:pPr>
        <w:rPr>
          <w:rFonts w:ascii="Segoe UI" w:hAnsi="Segoe UI" w:cs="Segoe UI"/>
          <w:sz w:val="21"/>
          <w:szCs w:val="21"/>
          <w:u w:val="single"/>
        </w:rPr>
      </w:pPr>
      <w:r w:rsidRPr="00A90A25">
        <w:rPr>
          <w:rFonts w:ascii="Segoe UI" w:hAnsi="Segoe UI" w:cs="Segoe UI"/>
          <w:sz w:val="21"/>
          <w:szCs w:val="21"/>
          <w:u w:val="single"/>
        </w:rPr>
        <w:t>Challenges</w:t>
      </w:r>
    </w:p>
    <w:p w14:paraId="2B5572AF" w14:textId="77777777" w:rsidR="00892673" w:rsidRPr="00A90A25" w:rsidRDefault="00892673" w:rsidP="00892673">
      <w:pPr>
        <w:numPr>
          <w:ilvl w:val="0"/>
          <w:numId w:val="8"/>
        </w:numPr>
        <w:rPr>
          <w:rFonts w:ascii="Segoe UI" w:hAnsi="Segoe UI" w:cs="Segoe UI"/>
          <w:sz w:val="21"/>
          <w:szCs w:val="21"/>
        </w:rPr>
      </w:pPr>
      <w:r w:rsidRPr="00A90A25">
        <w:rPr>
          <w:rFonts w:ascii="Segoe UI" w:hAnsi="Segoe UI" w:cs="Segoe UI"/>
          <w:sz w:val="21"/>
          <w:szCs w:val="21"/>
        </w:rPr>
        <w:t>Variability of approach and quality</w:t>
      </w:r>
    </w:p>
    <w:p w14:paraId="081D7F97" w14:textId="77777777" w:rsidR="00892673" w:rsidRPr="00A90A25" w:rsidRDefault="00892673" w:rsidP="00892673">
      <w:pPr>
        <w:numPr>
          <w:ilvl w:val="0"/>
          <w:numId w:val="8"/>
        </w:numPr>
        <w:rPr>
          <w:rFonts w:ascii="Segoe UI" w:hAnsi="Segoe UI" w:cs="Segoe UI"/>
          <w:sz w:val="21"/>
          <w:szCs w:val="21"/>
        </w:rPr>
      </w:pPr>
      <w:r w:rsidRPr="00A90A25">
        <w:rPr>
          <w:rFonts w:ascii="Segoe UI" w:hAnsi="Segoe UI" w:cs="Segoe UI"/>
          <w:sz w:val="21"/>
          <w:szCs w:val="21"/>
        </w:rPr>
        <w:t>Evidence is often based on a narrow set of desired outcomes – for example attainment rather than social outcomes</w:t>
      </w:r>
    </w:p>
    <w:p w14:paraId="6EB4796D" w14:textId="77777777" w:rsidR="00892673" w:rsidRPr="00A90A25" w:rsidRDefault="00892673" w:rsidP="00892673">
      <w:pPr>
        <w:numPr>
          <w:ilvl w:val="0"/>
          <w:numId w:val="8"/>
        </w:numPr>
        <w:rPr>
          <w:rFonts w:ascii="Segoe UI" w:hAnsi="Segoe UI" w:cs="Segoe UI"/>
          <w:sz w:val="21"/>
          <w:szCs w:val="21"/>
        </w:rPr>
      </w:pPr>
      <w:r w:rsidRPr="00A90A25">
        <w:rPr>
          <w:rFonts w:ascii="Segoe UI" w:hAnsi="Segoe UI" w:cs="Segoe UI"/>
          <w:sz w:val="21"/>
          <w:szCs w:val="21"/>
        </w:rPr>
        <w:t>Families are rarely involved in the design of these services</w:t>
      </w:r>
    </w:p>
    <w:p w14:paraId="17EBE490" w14:textId="77777777" w:rsidR="00892673" w:rsidRPr="00A90A25" w:rsidRDefault="00892673" w:rsidP="00892673">
      <w:pPr>
        <w:numPr>
          <w:ilvl w:val="0"/>
          <w:numId w:val="8"/>
        </w:numPr>
        <w:rPr>
          <w:rFonts w:ascii="Segoe UI" w:hAnsi="Segoe UI" w:cs="Segoe UI"/>
          <w:sz w:val="21"/>
          <w:szCs w:val="21"/>
        </w:rPr>
        <w:sectPr w:rsidR="00892673" w:rsidRPr="00A90A25" w:rsidSect="00892673">
          <w:endnotePr>
            <w:numFmt w:val="decimal"/>
          </w:endnotePr>
          <w:type w:val="continuous"/>
          <w:pgSz w:w="11900" w:h="16840"/>
          <w:pgMar w:top="1440" w:right="1440" w:bottom="1440" w:left="1440" w:header="708" w:footer="708" w:gutter="0"/>
          <w:cols w:num="2" w:space="708"/>
          <w:docGrid w:linePitch="360"/>
        </w:sectPr>
      </w:pPr>
      <w:r w:rsidRPr="00A90A25">
        <w:rPr>
          <w:rFonts w:ascii="Segoe UI" w:hAnsi="Segoe UI" w:cs="Segoe UI"/>
          <w:sz w:val="21"/>
          <w:szCs w:val="21"/>
        </w:rPr>
        <w:t>Funding is often short term and insecure, whereas the cycle of food insecurity is entrenched around the school year.</w:t>
      </w:r>
    </w:p>
    <w:p w14:paraId="1B704680" w14:textId="77777777" w:rsidR="00892673" w:rsidRPr="00A90A25" w:rsidRDefault="00892673" w:rsidP="00892673">
      <w:pPr>
        <w:numPr>
          <w:ilvl w:val="0"/>
          <w:numId w:val="7"/>
        </w:numPr>
        <w:rPr>
          <w:rFonts w:ascii="Segoe UI" w:hAnsi="Segoe UI" w:cs="Segoe UI"/>
          <w:sz w:val="21"/>
          <w:szCs w:val="21"/>
        </w:rPr>
        <w:sectPr w:rsidR="00892673" w:rsidRPr="00A90A25" w:rsidSect="00892673">
          <w:endnotePr>
            <w:numFmt w:val="decimal"/>
          </w:endnotePr>
          <w:type w:val="continuous"/>
          <w:pgSz w:w="11900" w:h="16840"/>
          <w:pgMar w:top="1440" w:right="1440" w:bottom="1440" w:left="1440" w:header="708" w:footer="708" w:gutter="0"/>
          <w:cols w:space="708"/>
          <w:docGrid w:linePitch="360"/>
        </w:sectPr>
      </w:pPr>
    </w:p>
    <w:p w14:paraId="0127EFD5" w14:textId="228FDFC9" w:rsidR="0091562F" w:rsidRPr="00A90A25" w:rsidRDefault="00716B86" w:rsidP="00023EF2">
      <w:pPr>
        <w:rPr>
          <w:rFonts w:ascii="Segoe UI" w:hAnsi="Segoe UI" w:cs="Segoe UI"/>
          <w:sz w:val="21"/>
          <w:szCs w:val="21"/>
        </w:rPr>
      </w:pPr>
      <w:r w:rsidRPr="00A90A25">
        <w:rPr>
          <w:rFonts w:ascii="Segoe UI" w:hAnsi="Segoe UI" w:cs="Segoe UI"/>
          <w:sz w:val="21"/>
          <w:szCs w:val="21"/>
        </w:rPr>
        <w:lastRenderedPageBreak/>
        <w:t xml:space="preserve">A </w:t>
      </w:r>
      <w:r w:rsidR="00137098" w:rsidRPr="00A90A25">
        <w:rPr>
          <w:rFonts w:ascii="Segoe UI" w:hAnsi="Segoe UI" w:cs="Segoe UI"/>
          <w:sz w:val="21"/>
          <w:szCs w:val="21"/>
        </w:rPr>
        <w:t>systematic</w:t>
      </w:r>
      <w:r w:rsidRPr="00A90A25">
        <w:rPr>
          <w:rFonts w:ascii="Segoe UI" w:hAnsi="Segoe UI" w:cs="Segoe UI"/>
          <w:sz w:val="21"/>
          <w:szCs w:val="21"/>
        </w:rPr>
        <w:t xml:space="preserve"> review published in 2019 found that </w:t>
      </w:r>
      <w:r w:rsidR="00137098" w:rsidRPr="00A90A25">
        <w:rPr>
          <w:rFonts w:ascii="Segoe UI" w:hAnsi="Segoe UI" w:cs="Segoe UI"/>
          <w:sz w:val="21"/>
          <w:szCs w:val="21"/>
        </w:rPr>
        <w:t>the</w:t>
      </w:r>
      <w:r w:rsidR="00023EF2" w:rsidRPr="00A90A25">
        <w:rPr>
          <w:rFonts w:ascii="Segoe UI" w:hAnsi="Segoe UI" w:cs="Segoe UI"/>
          <w:sz w:val="21"/>
          <w:szCs w:val="21"/>
        </w:rPr>
        <w:t xml:space="preserve"> evidence for the impact of </w:t>
      </w:r>
      <w:r w:rsidR="00E5629F">
        <w:rPr>
          <w:rFonts w:ascii="Segoe UI" w:hAnsi="Segoe UI" w:cs="Segoe UI"/>
          <w:sz w:val="21"/>
          <w:szCs w:val="21"/>
        </w:rPr>
        <w:t>tailored</w:t>
      </w:r>
      <w:r w:rsidR="00023EF2" w:rsidRPr="00A90A25">
        <w:rPr>
          <w:rFonts w:ascii="Segoe UI" w:hAnsi="Segoe UI" w:cs="Segoe UI"/>
          <w:sz w:val="21"/>
          <w:szCs w:val="21"/>
        </w:rPr>
        <w:t xml:space="preserve"> support</w:t>
      </w:r>
      <w:r w:rsidRPr="00A90A25">
        <w:rPr>
          <w:rFonts w:ascii="Segoe UI" w:hAnsi="Segoe UI" w:cs="Segoe UI"/>
          <w:sz w:val="21"/>
          <w:szCs w:val="21"/>
        </w:rPr>
        <w:t xml:space="preserve"> to support children’s food insecurity</w:t>
      </w:r>
      <w:r w:rsidR="00023EF2" w:rsidRPr="00A90A25">
        <w:rPr>
          <w:rFonts w:ascii="Segoe UI" w:hAnsi="Segoe UI" w:cs="Segoe UI"/>
          <w:sz w:val="21"/>
          <w:szCs w:val="21"/>
        </w:rPr>
        <w:t xml:space="preserve"> </w:t>
      </w:r>
      <w:r w:rsidRPr="00A90A25">
        <w:rPr>
          <w:rFonts w:ascii="Segoe UI" w:hAnsi="Segoe UI" w:cs="Segoe UI"/>
          <w:sz w:val="21"/>
          <w:szCs w:val="21"/>
        </w:rPr>
        <w:t>was</w:t>
      </w:r>
      <w:r w:rsidR="00023EF2" w:rsidRPr="00A90A25">
        <w:rPr>
          <w:rFonts w:ascii="Segoe UI" w:hAnsi="Segoe UI" w:cs="Segoe UI"/>
          <w:sz w:val="21"/>
          <w:szCs w:val="21"/>
        </w:rPr>
        <w:t xml:space="preserve"> patchy, constrained by a lack of high</w:t>
      </w:r>
      <w:r w:rsidR="00AF7E57" w:rsidRPr="00A90A25">
        <w:rPr>
          <w:rFonts w:ascii="Segoe UI" w:hAnsi="Segoe UI" w:cs="Segoe UI"/>
          <w:sz w:val="21"/>
          <w:szCs w:val="21"/>
        </w:rPr>
        <w:t>-</w:t>
      </w:r>
      <w:r w:rsidR="00023EF2" w:rsidRPr="00A90A25">
        <w:rPr>
          <w:rFonts w:ascii="Segoe UI" w:hAnsi="Segoe UI" w:cs="Segoe UI"/>
          <w:sz w:val="21"/>
          <w:szCs w:val="21"/>
        </w:rPr>
        <w:t xml:space="preserve">quality evaluation and in </w:t>
      </w:r>
      <w:r w:rsidR="005972B1" w:rsidRPr="00A90A25">
        <w:rPr>
          <w:rFonts w:ascii="Segoe UI" w:hAnsi="Segoe UI" w:cs="Segoe UI"/>
          <w:sz w:val="21"/>
          <w:szCs w:val="21"/>
        </w:rPr>
        <w:t>particular</w:t>
      </w:r>
      <w:r w:rsidR="00023EF2" w:rsidRPr="00A90A25">
        <w:rPr>
          <w:rFonts w:ascii="Segoe UI" w:hAnsi="Segoe UI" w:cs="Segoe UI"/>
          <w:sz w:val="21"/>
          <w:szCs w:val="21"/>
        </w:rPr>
        <w:t xml:space="preserve"> a too narrow set of outcomes measured.</w:t>
      </w:r>
      <w:r w:rsidR="00AF7E57" w:rsidRPr="00A90A25">
        <w:rPr>
          <w:rStyle w:val="FootnoteReference"/>
          <w:rFonts w:ascii="Segoe UI" w:hAnsi="Segoe UI" w:cs="Segoe UI"/>
          <w:sz w:val="21"/>
          <w:szCs w:val="21"/>
        </w:rPr>
        <w:t xml:space="preserve"> </w:t>
      </w:r>
      <w:r w:rsidR="0091562F" w:rsidRPr="00A90A25">
        <w:rPr>
          <w:rStyle w:val="EndnoteReference"/>
          <w:rFonts w:ascii="Segoe UI" w:hAnsi="Segoe UI" w:cs="Segoe UI"/>
          <w:sz w:val="21"/>
          <w:szCs w:val="21"/>
        </w:rPr>
        <w:endnoteReference w:id="12"/>
      </w:r>
      <w:r w:rsidR="0091562F" w:rsidRPr="00A90A25">
        <w:rPr>
          <w:rFonts w:ascii="Segoe UI" w:hAnsi="Segoe UI" w:cs="Segoe UI"/>
          <w:sz w:val="21"/>
          <w:szCs w:val="21"/>
        </w:rPr>
        <w:t xml:space="preserve"> Consequently, </w:t>
      </w:r>
    </w:p>
    <w:p w14:paraId="5F0D3FCB" w14:textId="77777777" w:rsidR="0091562F" w:rsidRPr="00A90A25" w:rsidRDefault="0091562F" w:rsidP="00023EF2">
      <w:pPr>
        <w:rPr>
          <w:rFonts w:ascii="Segoe UI" w:hAnsi="Segoe UI" w:cs="Segoe UI"/>
          <w:sz w:val="21"/>
          <w:szCs w:val="21"/>
        </w:rPr>
      </w:pPr>
    </w:p>
    <w:p w14:paraId="5920A827" w14:textId="117F6332" w:rsidR="0091562F" w:rsidRPr="004B32BA" w:rsidRDefault="0091562F" w:rsidP="00023EF2">
      <w:pPr>
        <w:rPr>
          <w:rFonts w:ascii="Segoe UI" w:hAnsi="Segoe UI" w:cs="Segoe UI"/>
          <w:i/>
          <w:iCs/>
          <w:sz w:val="21"/>
          <w:szCs w:val="21"/>
        </w:rPr>
      </w:pPr>
      <w:r w:rsidRPr="004B32BA">
        <w:rPr>
          <w:rFonts w:ascii="Segoe UI" w:hAnsi="Segoe UI" w:cs="Segoe UI"/>
          <w:i/>
          <w:iCs/>
          <w:sz w:val="21"/>
          <w:szCs w:val="21"/>
        </w:rPr>
        <w:t>“It is not clear the extent to which families experiencing food insecurity are influencing the design of the interventions that they are the beneficiaries of.”</w:t>
      </w:r>
    </w:p>
    <w:p w14:paraId="3232CF65" w14:textId="77777777" w:rsidR="0091562F" w:rsidRPr="00A90A25" w:rsidRDefault="0091562F" w:rsidP="00023EF2">
      <w:pPr>
        <w:rPr>
          <w:rFonts w:ascii="Segoe UI" w:hAnsi="Segoe UI" w:cs="Segoe UI"/>
          <w:sz w:val="21"/>
          <w:szCs w:val="21"/>
        </w:rPr>
      </w:pPr>
    </w:p>
    <w:p w14:paraId="641E98E3" w14:textId="75AB3145" w:rsidR="0091562F" w:rsidRPr="00A90A25" w:rsidRDefault="0091562F" w:rsidP="00023EF2">
      <w:pPr>
        <w:rPr>
          <w:rFonts w:ascii="Segoe UI" w:hAnsi="Segoe UI" w:cs="Segoe UI"/>
          <w:sz w:val="21"/>
          <w:szCs w:val="21"/>
        </w:rPr>
      </w:pPr>
      <w:r w:rsidRPr="00A90A25">
        <w:rPr>
          <w:rFonts w:ascii="Segoe UI" w:hAnsi="Segoe UI" w:cs="Segoe UI"/>
          <w:sz w:val="21"/>
          <w:szCs w:val="21"/>
        </w:rPr>
        <w:t xml:space="preserve">Again, the need for, and difference created by such intervention is determined by the wider system families find themselves in. </w:t>
      </w:r>
    </w:p>
    <w:p w14:paraId="16E3E4F7" w14:textId="438E1F2C" w:rsidR="0091562F" w:rsidRPr="00A90A25" w:rsidRDefault="0091562F" w:rsidP="00B12290">
      <w:pPr>
        <w:rPr>
          <w:rFonts w:ascii="Segoe UI" w:hAnsi="Segoe UI" w:cs="Segoe UI"/>
          <w:sz w:val="21"/>
          <w:szCs w:val="21"/>
        </w:rPr>
      </w:pPr>
    </w:p>
    <w:p w14:paraId="3E4EC59C" w14:textId="2377F576" w:rsidR="0091562F" w:rsidRPr="00A90A25" w:rsidRDefault="0091562F" w:rsidP="00B12290">
      <w:pPr>
        <w:rPr>
          <w:rFonts w:ascii="Segoe UI" w:hAnsi="Segoe UI" w:cs="Segoe UI"/>
          <w:sz w:val="21"/>
          <w:szCs w:val="21"/>
        </w:rPr>
      </w:pPr>
      <w:r w:rsidRPr="00A90A25">
        <w:rPr>
          <w:rFonts w:ascii="Segoe UI" w:hAnsi="Segoe UI" w:cs="Segoe UI"/>
          <w:sz w:val="21"/>
          <w:szCs w:val="21"/>
        </w:rPr>
        <w:t>Similarly, a challenge with any approach that is tailored to specific contexts is that while this promotes local leadership and creativity, it also introduces variability – not only of approach but also quality.</w:t>
      </w:r>
      <w:r w:rsidRPr="00A90A25">
        <w:rPr>
          <w:rStyle w:val="EndnoteReference"/>
          <w:rFonts w:ascii="Segoe UI" w:hAnsi="Segoe UI" w:cs="Segoe UI"/>
          <w:sz w:val="21"/>
          <w:szCs w:val="21"/>
        </w:rPr>
        <w:endnoteReference w:id="13"/>
      </w:r>
    </w:p>
    <w:p w14:paraId="1B5697FC" w14:textId="67D9B65A" w:rsidR="005972B1" w:rsidRPr="00A90A25" w:rsidRDefault="005972B1" w:rsidP="003B50BE">
      <w:pPr>
        <w:rPr>
          <w:rFonts w:ascii="Segoe UI" w:hAnsi="Segoe UI" w:cs="Segoe UI"/>
          <w:sz w:val="21"/>
          <w:szCs w:val="21"/>
        </w:rPr>
      </w:pPr>
    </w:p>
    <w:p w14:paraId="62FA878C" w14:textId="77777777" w:rsidR="00CB3BF5" w:rsidRDefault="00CB3BF5" w:rsidP="00CB3BF5">
      <w:pPr>
        <w:rPr>
          <w:rFonts w:ascii="Segoe UI" w:hAnsi="Segoe UI" w:cs="Segoe UI"/>
          <w:b/>
          <w:bCs/>
          <w:sz w:val="28"/>
          <w:szCs w:val="28"/>
        </w:rPr>
      </w:pPr>
      <w:r w:rsidRPr="004875C1">
        <w:rPr>
          <w:rFonts w:ascii="Segoe UI" w:hAnsi="Segoe UI" w:cs="Segoe UI"/>
          <w:b/>
          <w:bCs/>
          <w:sz w:val="28"/>
          <w:szCs w:val="28"/>
        </w:rPr>
        <w:t xml:space="preserve">The case for </w:t>
      </w:r>
      <w:r>
        <w:rPr>
          <w:rFonts w:ascii="Segoe UI" w:hAnsi="Segoe UI" w:cs="Segoe UI"/>
          <w:b/>
          <w:bCs/>
          <w:sz w:val="28"/>
          <w:szCs w:val="28"/>
        </w:rPr>
        <w:t>tailored food aid models?</w:t>
      </w:r>
    </w:p>
    <w:p w14:paraId="116209B6" w14:textId="1215BB2F" w:rsidR="009C01C4" w:rsidRDefault="009C01C4" w:rsidP="00CB3BF5">
      <w:pPr>
        <w:rPr>
          <w:rFonts w:ascii="Segoe UI" w:hAnsi="Segoe UI" w:cs="Segoe UI"/>
          <w:b/>
          <w:bCs/>
          <w:sz w:val="21"/>
          <w:szCs w:val="21"/>
        </w:rPr>
      </w:pPr>
    </w:p>
    <w:p w14:paraId="66BAC334" w14:textId="008AE649" w:rsidR="009C01C4" w:rsidRDefault="009C01C4" w:rsidP="00CB3BF5">
      <w:pPr>
        <w:rPr>
          <w:rFonts w:ascii="Segoe UI" w:hAnsi="Segoe UI" w:cs="Segoe UI"/>
          <w:sz w:val="21"/>
          <w:szCs w:val="21"/>
        </w:rPr>
      </w:pPr>
      <w:r w:rsidRPr="009C01C4">
        <w:rPr>
          <w:rFonts w:ascii="Segoe UI" w:hAnsi="Segoe UI" w:cs="Segoe UI"/>
          <w:sz w:val="21"/>
          <w:szCs w:val="21"/>
        </w:rPr>
        <w:t xml:space="preserve">Interventions that target particular communities (for example refugees) or needs (holiday hunger) provide a more targeted approach compared to ‘business as usual’ food support. </w:t>
      </w:r>
      <w:r w:rsidR="00036354">
        <w:rPr>
          <w:rFonts w:ascii="Segoe UI" w:hAnsi="Segoe UI" w:cs="Segoe UI"/>
          <w:sz w:val="21"/>
          <w:szCs w:val="21"/>
        </w:rPr>
        <w:t xml:space="preserve">Holiday provision faces similar eligibility deliberations to other models; to restrict to those most in </w:t>
      </w:r>
      <w:r w:rsidR="001F7218">
        <w:rPr>
          <w:rFonts w:ascii="Segoe UI" w:hAnsi="Segoe UI" w:cs="Segoe UI"/>
          <w:sz w:val="21"/>
          <w:szCs w:val="21"/>
        </w:rPr>
        <w:t>need or</w:t>
      </w:r>
      <w:r w:rsidR="00036354">
        <w:rPr>
          <w:rFonts w:ascii="Segoe UI" w:hAnsi="Segoe UI" w:cs="Segoe UI"/>
          <w:sz w:val="21"/>
          <w:szCs w:val="21"/>
        </w:rPr>
        <w:t xml:space="preserve"> open up to encourage great mixing and social cohesion.</w:t>
      </w:r>
    </w:p>
    <w:p w14:paraId="6828F5A0" w14:textId="0663E90C" w:rsidR="00AC121A" w:rsidRDefault="00AC121A" w:rsidP="00CB3BF5">
      <w:pPr>
        <w:rPr>
          <w:rFonts w:ascii="Segoe UI" w:hAnsi="Segoe UI" w:cs="Segoe UI"/>
          <w:sz w:val="21"/>
          <w:szCs w:val="21"/>
        </w:rPr>
      </w:pPr>
    </w:p>
    <w:p w14:paraId="41F036BE" w14:textId="4B394EF2" w:rsidR="00AC121A" w:rsidRPr="009C01C4" w:rsidRDefault="00AC121A" w:rsidP="00CB3BF5">
      <w:pPr>
        <w:rPr>
          <w:rFonts w:ascii="Segoe UI" w:hAnsi="Segoe UI" w:cs="Segoe UI"/>
          <w:sz w:val="21"/>
          <w:szCs w:val="21"/>
        </w:rPr>
      </w:pPr>
      <w:r>
        <w:rPr>
          <w:rFonts w:ascii="Segoe UI" w:hAnsi="Segoe UI" w:cs="Segoe UI"/>
          <w:sz w:val="21"/>
          <w:szCs w:val="21"/>
        </w:rPr>
        <w:t xml:space="preserve">An over-arching finding of this review is the ongoing challenge to </w:t>
      </w:r>
      <w:r w:rsidRPr="00AC121A">
        <w:rPr>
          <w:rFonts w:ascii="Segoe UI" w:hAnsi="Segoe UI" w:cs="Segoe UI"/>
          <w:sz w:val="21"/>
          <w:szCs w:val="21"/>
        </w:rPr>
        <w:t>ensur</w:t>
      </w:r>
      <w:r>
        <w:rPr>
          <w:rFonts w:ascii="Segoe UI" w:hAnsi="Segoe UI" w:cs="Segoe UI"/>
          <w:sz w:val="21"/>
          <w:szCs w:val="21"/>
        </w:rPr>
        <w:t>e</w:t>
      </w:r>
      <w:r w:rsidRPr="00AC121A">
        <w:rPr>
          <w:rFonts w:ascii="Segoe UI" w:hAnsi="Segoe UI" w:cs="Segoe UI"/>
          <w:sz w:val="21"/>
          <w:szCs w:val="21"/>
        </w:rPr>
        <w:t xml:space="preserve"> that dietary  requirements, cultural requirements and tastes can be catered for</w:t>
      </w:r>
      <w:r>
        <w:rPr>
          <w:rFonts w:ascii="Segoe UI" w:hAnsi="Segoe UI" w:cs="Segoe UI"/>
          <w:sz w:val="21"/>
          <w:szCs w:val="21"/>
        </w:rPr>
        <w:t xml:space="preserve">. Cultural </w:t>
      </w:r>
      <w:r>
        <w:rPr>
          <w:rStyle w:val="EndnoteReference"/>
          <w:rFonts w:ascii="Segoe UI" w:hAnsi="Segoe UI" w:cs="Segoe UI"/>
          <w:sz w:val="21"/>
          <w:szCs w:val="21"/>
        </w:rPr>
        <w:endnoteReference w:id="14"/>
      </w:r>
      <w:r>
        <w:rPr>
          <w:rFonts w:ascii="Segoe UI" w:hAnsi="Segoe UI" w:cs="Segoe UI"/>
          <w:sz w:val="21"/>
          <w:szCs w:val="21"/>
        </w:rPr>
        <w:t>adaptations can often be found in the literature in the ‘desirable next steps’ section.</w:t>
      </w:r>
    </w:p>
    <w:p w14:paraId="6B8747B2" w14:textId="3E701D67" w:rsidR="009C01C4" w:rsidRDefault="009C01C4" w:rsidP="00CB3BF5">
      <w:pPr>
        <w:rPr>
          <w:rFonts w:ascii="Segoe UI" w:hAnsi="Segoe UI" w:cs="Segoe UI"/>
          <w:sz w:val="21"/>
          <w:szCs w:val="21"/>
        </w:rPr>
      </w:pPr>
    </w:p>
    <w:p w14:paraId="2BBFE4F8" w14:textId="0DF96CE8" w:rsidR="00036354" w:rsidRDefault="00036354" w:rsidP="00CB3BF5">
      <w:pPr>
        <w:rPr>
          <w:rFonts w:ascii="Segoe UI" w:hAnsi="Segoe UI" w:cs="Segoe UI"/>
          <w:sz w:val="21"/>
          <w:szCs w:val="21"/>
        </w:rPr>
      </w:pPr>
      <w:r>
        <w:rPr>
          <w:rFonts w:ascii="Segoe UI" w:hAnsi="Segoe UI" w:cs="Segoe UI"/>
          <w:sz w:val="21"/>
          <w:szCs w:val="21"/>
        </w:rPr>
        <w:t>Tailored food aid models can be justified on a number of levels. Loopstra (2019) argues that “</w:t>
      </w:r>
      <w:r w:rsidRPr="00036354">
        <w:rPr>
          <w:rFonts w:ascii="Segoe UI" w:hAnsi="Segoe UI" w:cs="Segoe UI"/>
          <w:sz w:val="21"/>
          <w:szCs w:val="21"/>
        </w:rPr>
        <w:t>As specific groups have been disproportionately affected by the pandemic and its aftermath</w:t>
      </w:r>
      <w:r w:rsidR="00A33A54">
        <w:rPr>
          <w:rStyle w:val="EndnoteReference"/>
          <w:rFonts w:ascii="Segoe UI" w:hAnsi="Segoe UI" w:cs="Segoe UI"/>
          <w:sz w:val="21"/>
          <w:szCs w:val="21"/>
        </w:rPr>
        <w:endnoteReference w:id="15"/>
      </w:r>
      <w:r w:rsidRPr="00036354">
        <w:rPr>
          <w:rFonts w:ascii="Segoe UI" w:hAnsi="Segoe UI" w:cs="Segoe UI"/>
          <w:sz w:val="21"/>
          <w:szCs w:val="21"/>
        </w:rPr>
        <w:t>, while already being at greater risk of food insecurity, we consider that targeting and tailoring of support warrants particular attention from practitioners and policymakers.”</w:t>
      </w:r>
      <w:r>
        <w:rPr>
          <w:rStyle w:val="EndnoteReference"/>
          <w:rFonts w:ascii="Segoe UI" w:hAnsi="Segoe UI" w:cs="Segoe UI"/>
          <w:sz w:val="21"/>
          <w:szCs w:val="21"/>
        </w:rPr>
        <w:endnoteReference w:id="16"/>
      </w:r>
    </w:p>
    <w:p w14:paraId="56FF27FE" w14:textId="77777777" w:rsidR="00036354" w:rsidRDefault="00036354" w:rsidP="00CB3BF5">
      <w:pPr>
        <w:rPr>
          <w:rFonts w:ascii="Segoe UI" w:hAnsi="Segoe UI" w:cs="Segoe UI"/>
          <w:sz w:val="21"/>
          <w:szCs w:val="21"/>
        </w:rPr>
      </w:pPr>
    </w:p>
    <w:p w14:paraId="1A87D1C1" w14:textId="7620F8C2" w:rsidR="00CB3BF5" w:rsidRPr="00036354" w:rsidRDefault="00036354" w:rsidP="00CB3BF5">
      <w:pPr>
        <w:rPr>
          <w:rFonts w:ascii="Segoe UI" w:hAnsi="Segoe UI" w:cs="Segoe UI"/>
          <w:sz w:val="21"/>
          <w:szCs w:val="21"/>
        </w:rPr>
      </w:pPr>
      <w:r w:rsidRPr="009C01C4">
        <w:rPr>
          <w:rFonts w:ascii="Segoe UI" w:hAnsi="Segoe UI" w:cs="Segoe UI"/>
          <w:sz w:val="21"/>
          <w:szCs w:val="21"/>
        </w:rPr>
        <w:t xml:space="preserve">If a food support ecosystem aims to be inclusive, then including offers that will be appropriate for different community groups </w:t>
      </w:r>
      <w:r>
        <w:rPr>
          <w:rFonts w:ascii="Segoe UI" w:hAnsi="Segoe UI" w:cs="Segoe UI"/>
          <w:sz w:val="21"/>
          <w:szCs w:val="21"/>
        </w:rPr>
        <w:t xml:space="preserve">has a contribution to make. Similarly, a </w:t>
      </w:r>
      <w:r w:rsidR="00406451" w:rsidRPr="00406451">
        <w:rPr>
          <w:rFonts w:ascii="Segoe UI" w:hAnsi="Segoe UI" w:cs="Segoe UI"/>
          <w:sz w:val="21"/>
          <w:szCs w:val="21"/>
        </w:rPr>
        <w:t>people-centred approach</w:t>
      </w:r>
      <w:r>
        <w:rPr>
          <w:rFonts w:ascii="Segoe UI" w:hAnsi="Segoe UI" w:cs="Segoe UI"/>
          <w:sz w:val="21"/>
          <w:szCs w:val="21"/>
        </w:rPr>
        <w:t>, would ideally include</w:t>
      </w:r>
      <w:r w:rsidR="00406451" w:rsidRPr="00406451">
        <w:rPr>
          <w:rFonts w:ascii="Segoe UI" w:hAnsi="Segoe UI" w:cs="Segoe UI"/>
          <w:sz w:val="21"/>
          <w:szCs w:val="21"/>
        </w:rPr>
        <w:t xml:space="preserve"> universal access to sustainable, healthy, culturally appropriate and affordable food.</w:t>
      </w:r>
      <w:r>
        <w:rPr>
          <w:rStyle w:val="EndnoteReference"/>
          <w:rFonts w:ascii="Segoe UI" w:hAnsi="Segoe UI" w:cs="Segoe UI"/>
          <w:sz w:val="21"/>
          <w:szCs w:val="21"/>
        </w:rPr>
        <w:endnoteReference w:id="17"/>
      </w:r>
    </w:p>
    <w:p w14:paraId="508ADB81" w14:textId="77777777" w:rsidR="00CB3BF5" w:rsidRDefault="00CB3BF5" w:rsidP="009676D6">
      <w:pPr>
        <w:rPr>
          <w:rFonts w:ascii="Segoe UI" w:hAnsi="Segoe UI" w:cs="Segoe UI"/>
          <w:b/>
          <w:bCs/>
          <w:sz w:val="21"/>
          <w:szCs w:val="21"/>
        </w:rPr>
      </w:pPr>
    </w:p>
    <w:p w14:paraId="5D9ED902" w14:textId="77777777" w:rsidR="00CB3BF5" w:rsidRPr="004875C1" w:rsidRDefault="00CB3BF5" w:rsidP="00CB3BF5">
      <w:pPr>
        <w:rPr>
          <w:rFonts w:ascii="Segoe UI" w:hAnsi="Segoe UI" w:cs="Segoe UI"/>
          <w:b/>
          <w:bCs/>
          <w:sz w:val="28"/>
          <w:szCs w:val="28"/>
        </w:rPr>
      </w:pPr>
      <w:r w:rsidRPr="004875C1">
        <w:rPr>
          <w:rFonts w:ascii="Segoe UI" w:hAnsi="Segoe UI" w:cs="Segoe UI"/>
          <w:b/>
          <w:bCs/>
          <w:sz w:val="28"/>
          <w:szCs w:val="28"/>
        </w:rPr>
        <w:t>Questions arising</w:t>
      </w:r>
    </w:p>
    <w:p w14:paraId="31F80502" w14:textId="77777777" w:rsidR="00CB3BF5" w:rsidRDefault="00CB3BF5" w:rsidP="00CB3BF5">
      <w:pPr>
        <w:rPr>
          <w:rFonts w:ascii="Segoe UI" w:hAnsi="Segoe UI" w:cs="Segoe UI"/>
          <w:b/>
          <w:bCs/>
          <w:sz w:val="21"/>
          <w:szCs w:val="21"/>
        </w:rPr>
      </w:pPr>
    </w:p>
    <w:p w14:paraId="1C534675" w14:textId="2E670CB0" w:rsidR="009676D6" w:rsidRPr="004B32BA" w:rsidRDefault="009676D6" w:rsidP="009676D6">
      <w:pPr>
        <w:pStyle w:val="ListParagraph"/>
        <w:numPr>
          <w:ilvl w:val="0"/>
          <w:numId w:val="16"/>
        </w:numPr>
        <w:rPr>
          <w:rFonts w:ascii="Segoe UI" w:hAnsi="Segoe UI" w:cs="Segoe UI"/>
          <w:sz w:val="21"/>
          <w:szCs w:val="21"/>
        </w:rPr>
      </w:pPr>
      <w:r w:rsidRPr="00A90A25">
        <w:rPr>
          <w:rFonts w:ascii="Segoe UI" w:hAnsi="Segoe UI" w:cs="Segoe UI"/>
          <w:sz w:val="21"/>
          <w:szCs w:val="21"/>
        </w:rPr>
        <w:t xml:space="preserve">How to </w:t>
      </w:r>
      <w:r w:rsidRPr="004B32BA">
        <w:rPr>
          <w:rFonts w:ascii="Segoe UI" w:hAnsi="Segoe UI" w:cs="Segoe UI"/>
          <w:sz w:val="21"/>
          <w:szCs w:val="21"/>
        </w:rPr>
        <w:t>resource the coordination, quality assurance and requirement to scale up and down in response to need</w:t>
      </w:r>
      <w:r w:rsidR="00C00045" w:rsidRPr="004B32BA">
        <w:rPr>
          <w:rFonts w:ascii="Segoe UI" w:hAnsi="Segoe UI" w:cs="Segoe UI"/>
          <w:sz w:val="21"/>
          <w:szCs w:val="21"/>
        </w:rPr>
        <w:t>?</w:t>
      </w:r>
    </w:p>
    <w:p w14:paraId="14D4427C" w14:textId="2807A9FD" w:rsidR="00C00045" w:rsidRPr="004B32BA" w:rsidRDefault="00C00045" w:rsidP="009676D6">
      <w:pPr>
        <w:pStyle w:val="ListParagraph"/>
        <w:numPr>
          <w:ilvl w:val="0"/>
          <w:numId w:val="16"/>
        </w:numPr>
        <w:rPr>
          <w:rFonts w:ascii="Segoe UI" w:hAnsi="Segoe UI" w:cs="Segoe UI"/>
          <w:sz w:val="21"/>
          <w:szCs w:val="21"/>
        </w:rPr>
      </w:pPr>
      <w:r w:rsidRPr="004B32BA">
        <w:rPr>
          <w:rFonts w:ascii="Segoe UI" w:hAnsi="Segoe UI" w:cs="Segoe UI"/>
          <w:sz w:val="21"/>
          <w:szCs w:val="21"/>
        </w:rPr>
        <w:t>The challenges in implementing holiday food schemes that have wider eligibility than Free School Meals. Where then to place thresholds?</w:t>
      </w:r>
    </w:p>
    <w:p w14:paraId="577BF2C4" w14:textId="77777777" w:rsidR="004B32BA" w:rsidRPr="004B32BA" w:rsidRDefault="009676D6" w:rsidP="009676D6">
      <w:pPr>
        <w:pStyle w:val="ListParagraph"/>
        <w:numPr>
          <w:ilvl w:val="0"/>
          <w:numId w:val="16"/>
        </w:numPr>
        <w:rPr>
          <w:rFonts w:ascii="Segoe UI" w:hAnsi="Segoe UI" w:cs="Segoe UI"/>
          <w:sz w:val="21"/>
          <w:szCs w:val="21"/>
        </w:rPr>
      </w:pPr>
      <w:r w:rsidRPr="004B32BA">
        <w:rPr>
          <w:rFonts w:ascii="Segoe UI" w:hAnsi="Segoe UI" w:cs="Segoe UI"/>
          <w:sz w:val="21"/>
          <w:szCs w:val="21"/>
        </w:rPr>
        <w:t xml:space="preserve">How best to </w:t>
      </w:r>
      <w:r w:rsidR="004B32BA" w:rsidRPr="004B32BA">
        <w:rPr>
          <w:rFonts w:ascii="Segoe UI" w:hAnsi="Segoe UI" w:cs="Segoe UI"/>
          <w:sz w:val="21"/>
          <w:szCs w:val="21"/>
        </w:rPr>
        <w:t>work with the VCSE sector that may not have food-related expertise but have the trust of people in groups where targeted food support might be most beneficial?</w:t>
      </w:r>
    </w:p>
    <w:p w14:paraId="3891B3A8" w14:textId="74C54A94" w:rsidR="00CB3BF5" w:rsidRPr="004B32BA" w:rsidRDefault="004B32BA" w:rsidP="00FB038B">
      <w:pPr>
        <w:pStyle w:val="ListParagraph"/>
        <w:numPr>
          <w:ilvl w:val="0"/>
          <w:numId w:val="16"/>
        </w:numPr>
        <w:rPr>
          <w:rFonts w:ascii="Segoe UI" w:hAnsi="Segoe UI" w:cs="Segoe UI"/>
          <w:sz w:val="21"/>
          <w:szCs w:val="21"/>
        </w:rPr>
      </w:pPr>
      <w:r w:rsidRPr="004B32BA">
        <w:rPr>
          <w:rFonts w:ascii="Segoe UI" w:hAnsi="Segoe UI" w:cs="Segoe UI"/>
          <w:sz w:val="21"/>
          <w:szCs w:val="21"/>
        </w:rPr>
        <w:t>How best to build on all the learning from HAF in the past and over the next 3 years, somehow creating conditions for resilience rather than long-term dependency?</w:t>
      </w:r>
    </w:p>
    <w:p w14:paraId="06FD3B49" w14:textId="498876D7" w:rsidR="00AC121A" w:rsidRPr="004B32BA" w:rsidRDefault="00AC121A" w:rsidP="00AC121A">
      <w:pPr>
        <w:pStyle w:val="ListParagraph"/>
        <w:numPr>
          <w:ilvl w:val="0"/>
          <w:numId w:val="16"/>
        </w:numPr>
        <w:rPr>
          <w:rFonts w:ascii="Segoe UI" w:hAnsi="Segoe UI" w:cs="Segoe UI"/>
          <w:sz w:val="21"/>
          <w:szCs w:val="21"/>
        </w:rPr>
      </w:pPr>
      <w:r w:rsidRPr="004B32BA">
        <w:rPr>
          <w:rFonts w:ascii="Segoe UI" w:hAnsi="Segoe UI" w:cs="Segoe UI"/>
          <w:sz w:val="21"/>
          <w:szCs w:val="21"/>
        </w:rPr>
        <w:t>How to redress the evidence finding that families experiencing food insecurity were not sufficiently influencing the design of the interventions intended for them.</w:t>
      </w:r>
    </w:p>
    <w:p w14:paraId="6A061915" w14:textId="77777777" w:rsidR="00AC121A" w:rsidRPr="00A90A25" w:rsidRDefault="00AC121A" w:rsidP="00AC121A">
      <w:pPr>
        <w:pStyle w:val="ListParagraph"/>
        <w:rPr>
          <w:rFonts w:ascii="Segoe UI" w:hAnsi="Segoe UI" w:cs="Segoe UI"/>
          <w:sz w:val="21"/>
          <w:szCs w:val="21"/>
        </w:rPr>
      </w:pPr>
    </w:p>
    <w:p w14:paraId="05612DC7" w14:textId="0D80D7A3" w:rsidR="00511B29" w:rsidRPr="00A90A25" w:rsidRDefault="00511B29" w:rsidP="009676D6">
      <w:pPr>
        <w:rPr>
          <w:rFonts w:ascii="Segoe UI" w:hAnsi="Segoe UI" w:cs="Segoe UI"/>
          <w:b/>
          <w:bCs/>
          <w:sz w:val="21"/>
          <w:szCs w:val="21"/>
        </w:rPr>
      </w:pPr>
    </w:p>
    <w:sectPr w:rsidR="00511B29" w:rsidRPr="00A90A25" w:rsidSect="00892673">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4A87" w14:textId="77777777" w:rsidR="00E34ABD" w:rsidRDefault="00E34ABD" w:rsidP="00892673">
      <w:r>
        <w:separator/>
      </w:r>
    </w:p>
  </w:endnote>
  <w:endnote w:type="continuationSeparator" w:id="0">
    <w:p w14:paraId="717884FA" w14:textId="77777777" w:rsidR="00E34ABD" w:rsidRDefault="00E34ABD" w:rsidP="00892673">
      <w:r>
        <w:continuationSeparator/>
      </w:r>
    </w:p>
  </w:endnote>
  <w:endnote w:id="1">
    <w:p w14:paraId="59ACF095" w14:textId="266D4D7C" w:rsidR="00CB3BF5" w:rsidRPr="007C4366" w:rsidRDefault="00CB3BF5">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Local responses to household food insecurity across the UK during COVID-19 (September 2020 – September 2021) An analysis of experiences from 14 local areas from around the UK and recommendations for future policy and practice, page 36</w:t>
      </w:r>
    </w:p>
  </w:endnote>
  <w:endnote w:id="2">
    <w:p w14:paraId="79DCEAFF" w14:textId="0B72F058" w:rsidR="0091562F" w:rsidRPr="007C4366" w:rsidRDefault="0091562F" w:rsidP="00892673">
      <w:pPr>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Source: A Systematic Review of the Evaluation of Interventions to Tackle Children's Food Insecurity Published online: 14 February 2019. In contrast, ‘subsidy programmes’ provide families with more flexibility to make decisions about how the additional resources they are provided with can best be utilised within individual families, but they have the disadvantage of potentially further stigmatising families who are defined by their low socioeconomic status.</w:t>
      </w:r>
    </w:p>
  </w:endnote>
  <w:endnote w:id="3">
    <w:p w14:paraId="2F94068B" w14:textId="5CCBD045" w:rsidR="0091562F" w:rsidRPr="007C4366" w:rsidRDefault="0091562F" w:rsidP="00023EF2">
      <w:pPr>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Source: </w:t>
      </w:r>
      <w:r w:rsidRPr="007C4366">
        <w:rPr>
          <w:rFonts w:eastAsia="Times New Roman" w:cstheme="minorHAnsi"/>
          <w:color w:val="000000"/>
          <w:sz w:val="18"/>
          <w:szCs w:val="18"/>
          <w:lang w:eastAsia="en-GB"/>
        </w:rPr>
        <w:t>Food Insecurity: A Constant Factor in the Lives of Low-Income Families in Scotland and England. 2021</w:t>
      </w:r>
    </w:p>
  </w:endnote>
  <w:endnote w:id="4">
    <w:p w14:paraId="08313A1E" w14:textId="300D3B5B" w:rsidR="0091562F" w:rsidRPr="007C4366" w:rsidRDefault="0091562F" w:rsidP="00023EF2">
      <w:pPr>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Source Food Insecurity: A Constant Factor in the Lives of Low-Income Families in Scotland and England. 2021</w:t>
      </w:r>
    </w:p>
  </w:endnote>
  <w:endnote w:id="5">
    <w:p w14:paraId="4F8B3028" w14:textId="4EE9D631" w:rsidR="0091562F" w:rsidRPr="007C4366" w:rsidRDefault="0091562F" w:rsidP="00023EF2">
      <w:pPr>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Source: </w:t>
      </w:r>
      <w:r w:rsidRPr="007C4366">
        <w:rPr>
          <w:rFonts w:eastAsia="Times New Roman" w:cstheme="minorHAnsi"/>
          <w:color w:val="000000"/>
          <w:sz w:val="18"/>
          <w:szCs w:val="18"/>
          <w:lang w:eastAsia="en-GB"/>
        </w:rPr>
        <w:t xml:space="preserve">Holiday Hunger Project, a report on the holiday food and activity clubs monitored and supported by York Food Poverty Alliance June 2018-April 2019 </w:t>
      </w:r>
    </w:p>
  </w:endnote>
  <w:endnote w:id="6">
    <w:p w14:paraId="0CAA2D98" w14:textId="6A780FD9" w:rsidR="007C4366" w:rsidRPr="007C4366" w:rsidRDefault="007C4366">
      <w:pPr>
        <w:pStyle w:val="EndnoteText"/>
        <w:rPr>
          <w:rFonts w:cstheme="minorHAnsi"/>
          <w:sz w:val="18"/>
          <w:szCs w:val="18"/>
        </w:rPr>
      </w:pPr>
      <w:r w:rsidRPr="007C4366">
        <w:rPr>
          <w:rStyle w:val="EndnoteReference"/>
          <w:sz w:val="18"/>
          <w:szCs w:val="18"/>
        </w:rPr>
        <w:endnoteRef/>
      </w:r>
      <w:r w:rsidRPr="007C4366">
        <w:rPr>
          <w:sz w:val="18"/>
          <w:szCs w:val="18"/>
        </w:rPr>
        <w:t xml:space="preserve"> Loopstra (2019) cites examples in Cardiff and Bradford where VCSEs then stopped providing direct food support after the pandemic, on the basis, the need was no longer there. </w:t>
      </w:r>
      <w:r w:rsidRPr="007C4366">
        <w:rPr>
          <w:rFonts w:cstheme="minorHAnsi"/>
          <w:sz w:val="18"/>
          <w:szCs w:val="18"/>
        </w:rPr>
        <w:t>Local responses to household food insecurity across the UK during COVID-19 (September 2020 – September 2021) An analysis of experiences from 14 local areas from around the UK and recommendations for future policy and practice, page 36</w:t>
      </w:r>
    </w:p>
  </w:endnote>
  <w:endnote w:id="7">
    <w:p w14:paraId="1AD10FF0" w14:textId="0FC91B96" w:rsidR="00094F92" w:rsidRPr="007C4366" w:rsidRDefault="00094F92">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Lambie-Mumford, H., Gordon, K., Loopstra, R. and Shaw, S. (2021) ‘Comparing local responses to household food insecurity during COVID-19 across the UK (March – August 2020).</w:t>
      </w:r>
    </w:p>
  </w:endnote>
  <w:endnote w:id="8">
    <w:p w14:paraId="66B7D5C1" w14:textId="07F1B426" w:rsidR="00A90A25" w:rsidRPr="007C4366" w:rsidRDefault="00A90A25">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w:t>
      </w:r>
      <w:r w:rsidRPr="007C4366">
        <w:rPr>
          <w:rFonts w:eastAsia="Times New Roman" w:cstheme="minorHAnsi"/>
          <w:color w:val="000000"/>
          <w:sz w:val="18"/>
          <w:szCs w:val="18"/>
          <w:lang w:eastAsia="en-GB"/>
        </w:rPr>
        <w:t xml:space="preserve">Shemilt I, Harvey I, Shepstone L, Swift L, Reading R, Mugford M, et al. A national evaluation of school breakfast clubs: evidence from a cluster randomized controlled trial and an observational analysis. Child Care Health Dev. 2004;30:413–27 This is one of a small number of RCTs captured in this review. It exemplifies the difficulties with conducting RCTs with public health </w:t>
      </w:r>
      <w:r w:rsidR="001F7218" w:rsidRPr="007C4366">
        <w:rPr>
          <w:rFonts w:eastAsia="Times New Roman" w:cstheme="minorHAnsi"/>
          <w:color w:val="000000"/>
          <w:sz w:val="18"/>
          <w:szCs w:val="18"/>
          <w:lang w:eastAsia="en-GB"/>
        </w:rPr>
        <w:t>interventions and</w:t>
      </w:r>
      <w:r w:rsidRPr="007C4366">
        <w:rPr>
          <w:rFonts w:eastAsia="Times New Roman" w:cstheme="minorHAnsi"/>
          <w:color w:val="000000"/>
          <w:sz w:val="18"/>
          <w:szCs w:val="18"/>
          <w:lang w:eastAsia="en-GB"/>
        </w:rPr>
        <w:t xml:space="preserve"> makes</w:t>
      </w:r>
      <w:r w:rsidRPr="007C4366">
        <w:rPr>
          <w:rFonts w:cstheme="minorHAnsi"/>
          <w:sz w:val="18"/>
          <w:szCs w:val="18"/>
        </w:rPr>
        <w:t xml:space="preserve"> a clear statement about the necessary policy changes to overcome such difficulties.</w:t>
      </w:r>
    </w:p>
  </w:endnote>
  <w:endnote w:id="9">
    <w:p w14:paraId="1A0DC513" w14:textId="77777777" w:rsidR="00CB3BF5" w:rsidRPr="007C4366" w:rsidRDefault="00CB3BF5" w:rsidP="00CB3BF5">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The nearest location is Barnsley, where Rose Vouchers report market traders make on average £150</w:t>
      </w:r>
      <w:r w:rsidRPr="007C4366">
        <w:rPr>
          <w:rFonts w:cstheme="minorHAnsi"/>
          <w:sz w:val="18"/>
          <w:szCs w:val="18"/>
        </w:rPr>
        <w:noBreakHyphen/>
        <w:t>£250 a week more because of the vouchers.</w:t>
      </w:r>
    </w:p>
  </w:endnote>
  <w:endnote w:id="10">
    <w:p w14:paraId="1D4E3462" w14:textId="77777777" w:rsidR="00CB3BF5" w:rsidRPr="007C4366" w:rsidRDefault="00CB3BF5" w:rsidP="00CB3BF5">
      <w:pPr>
        <w:pStyle w:val="EndnoteText"/>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w:t>
      </w:r>
      <w:r w:rsidRPr="007C4366">
        <w:rPr>
          <w:rFonts w:eastAsia="Times New Roman" w:cstheme="minorHAnsi"/>
          <w:color w:val="000000"/>
          <w:sz w:val="18"/>
          <w:szCs w:val="18"/>
          <w:lang w:eastAsia="en-GB"/>
        </w:rPr>
        <w:t>Source: Evaluation Strategy 2020/2021 – 2024-2025. https://www.alexandrarose.org.uk/rose-vouchers/impact/</w:t>
      </w:r>
    </w:p>
  </w:endnote>
  <w:endnote w:id="11">
    <w:p w14:paraId="5C3C5C35" w14:textId="77777777" w:rsidR="00CB3BF5" w:rsidRPr="007C4366" w:rsidRDefault="00CB3BF5" w:rsidP="00CB3BF5">
      <w:pPr>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Source: </w:t>
      </w:r>
      <w:r w:rsidRPr="007C4366">
        <w:rPr>
          <w:rFonts w:eastAsia="Times New Roman" w:cstheme="minorHAnsi"/>
          <w:color w:val="000000"/>
          <w:sz w:val="18"/>
          <w:szCs w:val="18"/>
          <w:lang w:eastAsia="en-GB"/>
        </w:rPr>
        <w:t xml:space="preserve">Rose Vouchers for fruit and veg: Final Evaluation Report. 2017. Since 2014, the Rose Vouchers for Fruit &amp; Veg Project has supported over 7,766 families to access fresh fruit and veg in their community. </w:t>
      </w:r>
    </w:p>
  </w:endnote>
  <w:endnote w:id="12">
    <w:p w14:paraId="7DD26DA7" w14:textId="2E461397" w:rsidR="0091562F" w:rsidRPr="007C4366" w:rsidRDefault="0091562F" w:rsidP="00AF7E57">
      <w:pPr>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For example, narrow focus on selected outcomes, for example a meta review of breakfast club evaluations found that measurement was orientated to assess impact on children in the classroom (e.g., behaviour, educational achievement). Asa result of eating fruit and vegetables measure but ignoring any potential wider impacts that may impact positively (or negatively) on children's outcomes. Source: A Systematic Review of the Evaluation of Interventions to Tackle Children's Food Insecurity Published online: 14 February 2019</w:t>
      </w:r>
    </w:p>
  </w:endnote>
  <w:endnote w:id="13">
    <w:p w14:paraId="5955F257" w14:textId="6AF48E2F" w:rsidR="0091562F" w:rsidRPr="007C4366" w:rsidRDefault="0091562F" w:rsidP="005972B1">
      <w:pPr>
        <w:rPr>
          <w:rFonts w:eastAsia="Times New Roman" w:cstheme="minorHAnsi"/>
          <w:color w:val="000000"/>
          <w:sz w:val="18"/>
          <w:szCs w:val="18"/>
          <w:lang w:eastAsia="en-GB"/>
        </w:rPr>
      </w:pPr>
      <w:r w:rsidRPr="007C4366">
        <w:rPr>
          <w:rStyle w:val="EndnoteReference"/>
          <w:rFonts w:cstheme="minorHAnsi"/>
          <w:sz w:val="18"/>
          <w:szCs w:val="18"/>
        </w:rPr>
        <w:endnoteRef/>
      </w:r>
      <w:r w:rsidRPr="007C4366">
        <w:rPr>
          <w:rFonts w:cstheme="minorHAnsi"/>
          <w:sz w:val="18"/>
          <w:szCs w:val="18"/>
        </w:rPr>
        <w:t xml:space="preserve"> </w:t>
      </w:r>
      <w:r w:rsidRPr="007C4366">
        <w:rPr>
          <w:rFonts w:eastAsia="Times New Roman" w:cstheme="minorHAnsi"/>
          <w:color w:val="000000"/>
          <w:sz w:val="18"/>
          <w:szCs w:val="18"/>
          <w:lang w:eastAsia="en-GB"/>
        </w:rPr>
        <w:t>Source: Evaluation of the Holiday Activities and Food Programme: A Yorkshire-based review of the implementation and impact of the Holiday Activities and Food programme. 2021</w:t>
      </w:r>
    </w:p>
  </w:endnote>
  <w:endnote w:id="14">
    <w:p w14:paraId="7096685D" w14:textId="299E0D9A" w:rsidR="00AC121A" w:rsidRPr="007C4366" w:rsidRDefault="00AC121A" w:rsidP="002A4C21">
      <w:pPr>
        <w:rPr>
          <w:rFonts w:eastAsia="Times New Roman" w:cstheme="minorHAnsi"/>
          <w:color w:val="000000"/>
          <w:sz w:val="18"/>
          <w:szCs w:val="18"/>
          <w:lang w:eastAsia="en-GB"/>
        </w:rPr>
      </w:pPr>
      <w:r w:rsidRPr="007C4366">
        <w:rPr>
          <w:rStyle w:val="EndnoteReference"/>
          <w:sz w:val="18"/>
          <w:szCs w:val="18"/>
        </w:rPr>
        <w:endnoteRef/>
      </w:r>
      <w:r w:rsidRPr="007C4366">
        <w:rPr>
          <w:sz w:val="18"/>
          <w:szCs w:val="18"/>
        </w:rPr>
        <w:t xml:space="preserve"> </w:t>
      </w:r>
      <w:r w:rsidRPr="007C4366">
        <w:rPr>
          <w:rFonts w:eastAsia="Times New Roman" w:cstheme="minorHAnsi"/>
          <w:color w:val="000000"/>
          <w:sz w:val="18"/>
          <w:szCs w:val="18"/>
          <w:lang w:eastAsia="en-GB"/>
        </w:rPr>
        <w:t xml:space="preserve">See for example </w:t>
      </w:r>
      <w:r w:rsidR="002A4C21" w:rsidRPr="007C4366">
        <w:rPr>
          <w:rFonts w:eastAsia="Times New Roman" w:cstheme="minorHAnsi"/>
          <w:color w:val="000000"/>
          <w:sz w:val="18"/>
          <w:szCs w:val="18"/>
          <w:lang w:eastAsia="en-GB"/>
        </w:rPr>
        <w:t>Meals on wheels for the 21st century. A report exploring meals on wheels services in London before, during and after Covid-19. Sustain. July 2020 and Can food vouchers improve nutrition and reduce health inequalities in low-income mothers and young children: a multi-method evaluation of the experiences of beneficiaries and practitioners of the Healthy Start programme in England. (2014)</w:t>
      </w:r>
    </w:p>
  </w:endnote>
  <w:endnote w:id="15">
    <w:p w14:paraId="34D3AE70" w14:textId="212162F6" w:rsidR="00A33A54" w:rsidRPr="007C4366" w:rsidRDefault="00A33A54">
      <w:pPr>
        <w:pStyle w:val="EndnoteText"/>
        <w:rPr>
          <w:sz w:val="18"/>
          <w:szCs w:val="18"/>
        </w:rPr>
      </w:pPr>
      <w:r w:rsidRPr="007C4366">
        <w:rPr>
          <w:rStyle w:val="EndnoteReference"/>
          <w:sz w:val="18"/>
          <w:szCs w:val="18"/>
        </w:rPr>
        <w:endnoteRef/>
      </w:r>
      <w:r w:rsidRPr="007C4366">
        <w:rPr>
          <w:sz w:val="18"/>
          <w:szCs w:val="18"/>
        </w:rPr>
        <w:t xml:space="preserve"> https://www.health.org.uk/news-and-comment/charts-and-infographics/same-pandemic-unequal-impacts</w:t>
      </w:r>
    </w:p>
  </w:endnote>
  <w:endnote w:id="16">
    <w:p w14:paraId="56CC3FE3" w14:textId="2C769750" w:rsidR="00036354" w:rsidRPr="007C4366" w:rsidRDefault="00036354">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Local responses to household food insecurity across the UK during COVID-19 (September 2020 – September 2021) An analysis of experiences from 14 local areas from around the UK and recommendations for future policy and practice</w:t>
      </w:r>
    </w:p>
  </w:endnote>
  <w:endnote w:id="17">
    <w:p w14:paraId="70357A4D" w14:textId="59DB8D49" w:rsidR="00036354" w:rsidRPr="007C4366" w:rsidRDefault="00036354">
      <w:pPr>
        <w:pStyle w:val="EndnoteText"/>
        <w:rPr>
          <w:rFonts w:cstheme="minorHAnsi"/>
          <w:sz w:val="18"/>
          <w:szCs w:val="18"/>
        </w:rPr>
      </w:pPr>
      <w:r w:rsidRPr="007C4366">
        <w:rPr>
          <w:rStyle w:val="EndnoteReference"/>
          <w:rFonts w:cstheme="minorHAnsi"/>
          <w:sz w:val="18"/>
          <w:szCs w:val="18"/>
        </w:rPr>
        <w:endnoteRef/>
      </w:r>
      <w:r w:rsidRPr="007C4366">
        <w:rPr>
          <w:rFonts w:cstheme="minorHAnsi"/>
          <w:sz w:val="18"/>
          <w:szCs w:val="18"/>
        </w:rPr>
        <w:t xml:space="preserve"> Alkon 2018 quoted in Shaping more resilient and just food systems: lessons from the COVID-19 pandemic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C49D" w14:textId="77777777" w:rsidR="00E34ABD" w:rsidRDefault="00E34ABD" w:rsidP="00892673">
      <w:r>
        <w:separator/>
      </w:r>
    </w:p>
  </w:footnote>
  <w:footnote w:type="continuationSeparator" w:id="0">
    <w:p w14:paraId="277ED1EE" w14:textId="77777777" w:rsidR="00E34ABD" w:rsidRDefault="00E34ABD" w:rsidP="0089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C76"/>
    <w:multiLevelType w:val="hybridMultilevel"/>
    <w:tmpl w:val="28E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34A5"/>
    <w:multiLevelType w:val="hybridMultilevel"/>
    <w:tmpl w:val="0DD635F8"/>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803DF3"/>
    <w:multiLevelType w:val="hybridMultilevel"/>
    <w:tmpl w:val="CD4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4C0D09"/>
    <w:multiLevelType w:val="hybridMultilevel"/>
    <w:tmpl w:val="7EFE6AF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380513"/>
    <w:multiLevelType w:val="hybridMultilevel"/>
    <w:tmpl w:val="A28C3CF8"/>
    <w:lvl w:ilvl="0" w:tplc="74F8BE16">
      <w:start w:val="1"/>
      <w:numFmt w:val="bullet"/>
      <w:lvlText w:val=""/>
      <w:lvlJc w:val="left"/>
      <w:pPr>
        <w:tabs>
          <w:tab w:val="num" w:pos="720"/>
        </w:tabs>
        <w:ind w:left="720" w:hanging="360"/>
      </w:pPr>
      <w:rPr>
        <w:rFonts w:ascii="Symbol" w:hAnsi="Symbol" w:hint="default"/>
      </w:rPr>
    </w:lvl>
    <w:lvl w:ilvl="1" w:tplc="07C20C66" w:tentative="1">
      <w:start w:val="1"/>
      <w:numFmt w:val="bullet"/>
      <w:lvlText w:val=""/>
      <w:lvlJc w:val="left"/>
      <w:pPr>
        <w:tabs>
          <w:tab w:val="num" w:pos="1440"/>
        </w:tabs>
        <w:ind w:left="1440" w:hanging="360"/>
      </w:pPr>
      <w:rPr>
        <w:rFonts w:ascii="Symbol" w:hAnsi="Symbol" w:hint="default"/>
      </w:rPr>
    </w:lvl>
    <w:lvl w:ilvl="2" w:tplc="08D086CA" w:tentative="1">
      <w:start w:val="1"/>
      <w:numFmt w:val="bullet"/>
      <w:lvlText w:val=""/>
      <w:lvlJc w:val="left"/>
      <w:pPr>
        <w:tabs>
          <w:tab w:val="num" w:pos="2160"/>
        </w:tabs>
        <w:ind w:left="2160" w:hanging="360"/>
      </w:pPr>
      <w:rPr>
        <w:rFonts w:ascii="Symbol" w:hAnsi="Symbol" w:hint="default"/>
      </w:rPr>
    </w:lvl>
    <w:lvl w:ilvl="3" w:tplc="77D225DC" w:tentative="1">
      <w:start w:val="1"/>
      <w:numFmt w:val="bullet"/>
      <w:lvlText w:val=""/>
      <w:lvlJc w:val="left"/>
      <w:pPr>
        <w:tabs>
          <w:tab w:val="num" w:pos="2880"/>
        </w:tabs>
        <w:ind w:left="2880" w:hanging="360"/>
      </w:pPr>
      <w:rPr>
        <w:rFonts w:ascii="Symbol" w:hAnsi="Symbol" w:hint="default"/>
      </w:rPr>
    </w:lvl>
    <w:lvl w:ilvl="4" w:tplc="E7B49900" w:tentative="1">
      <w:start w:val="1"/>
      <w:numFmt w:val="bullet"/>
      <w:lvlText w:val=""/>
      <w:lvlJc w:val="left"/>
      <w:pPr>
        <w:tabs>
          <w:tab w:val="num" w:pos="3600"/>
        </w:tabs>
        <w:ind w:left="3600" w:hanging="360"/>
      </w:pPr>
      <w:rPr>
        <w:rFonts w:ascii="Symbol" w:hAnsi="Symbol" w:hint="default"/>
      </w:rPr>
    </w:lvl>
    <w:lvl w:ilvl="5" w:tplc="0AF83C76" w:tentative="1">
      <w:start w:val="1"/>
      <w:numFmt w:val="bullet"/>
      <w:lvlText w:val=""/>
      <w:lvlJc w:val="left"/>
      <w:pPr>
        <w:tabs>
          <w:tab w:val="num" w:pos="4320"/>
        </w:tabs>
        <w:ind w:left="4320" w:hanging="360"/>
      </w:pPr>
      <w:rPr>
        <w:rFonts w:ascii="Symbol" w:hAnsi="Symbol" w:hint="default"/>
      </w:rPr>
    </w:lvl>
    <w:lvl w:ilvl="6" w:tplc="ED98A826" w:tentative="1">
      <w:start w:val="1"/>
      <w:numFmt w:val="bullet"/>
      <w:lvlText w:val=""/>
      <w:lvlJc w:val="left"/>
      <w:pPr>
        <w:tabs>
          <w:tab w:val="num" w:pos="5040"/>
        </w:tabs>
        <w:ind w:left="5040" w:hanging="360"/>
      </w:pPr>
      <w:rPr>
        <w:rFonts w:ascii="Symbol" w:hAnsi="Symbol" w:hint="default"/>
      </w:rPr>
    </w:lvl>
    <w:lvl w:ilvl="7" w:tplc="31C8280C" w:tentative="1">
      <w:start w:val="1"/>
      <w:numFmt w:val="bullet"/>
      <w:lvlText w:val=""/>
      <w:lvlJc w:val="left"/>
      <w:pPr>
        <w:tabs>
          <w:tab w:val="num" w:pos="5760"/>
        </w:tabs>
        <w:ind w:left="5760" w:hanging="360"/>
      </w:pPr>
      <w:rPr>
        <w:rFonts w:ascii="Symbol" w:hAnsi="Symbol" w:hint="default"/>
      </w:rPr>
    </w:lvl>
    <w:lvl w:ilvl="8" w:tplc="D902E2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B324B9"/>
    <w:multiLevelType w:val="hybridMultilevel"/>
    <w:tmpl w:val="00D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4AE"/>
    <w:multiLevelType w:val="hybridMultilevel"/>
    <w:tmpl w:val="7FA0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A2661"/>
    <w:multiLevelType w:val="hybridMultilevel"/>
    <w:tmpl w:val="3D3C8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A959D1"/>
    <w:multiLevelType w:val="hybridMultilevel"/>
    <w:tmpl w:val="C026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A66E3"/>
    <w:multiLevelType w:val="hybridMultilevel"/>
    <w:tmpl w:val="AE84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64305"/>
    <w:multiLevelType w:val="hybridMultilevel"/>
    <w:tmpl w:val="21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16EB3"/>
    <w:multiLevelType w:val="hybridMultilevel"/>
    <w:tmpl w:val="404C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F2E3F"/>
    <w:multiLevelType w:val="hybridMultilevel"/>
    <w:tmpl w:val="CAD87242"/>
    <w:lvl w:ilvl="0" w:tplc="D1DC73A6">
      <w:start w:val="1"/>
      <w:numFmt w:val="bullet"/>
      <w:lvlText w:val=""/>
      <w:lvlJc w:val="left"/>
      <w:pPr>
        <w:tabs>
          <w:tab w:val="num" w:pos="720"/>
        </w:tabs>
        <w:ind w:left="720" w:hanging="360"/>
      </w:pPr>
      <w:rPr>
        <w:rFonts w:ascii="Symbol" w:hAnsi="Symbol" w:hint="default"/>
      </w:rPr>
    </w:lvl>
    <w:lvl w:ilvl="1" w:tplc="029A0A96" w:tentative="1">
      <w:start w:val="1"/>
      <w:numFmt w:val="bullet"/>
      <w:lvlText w:val=""/>
      <w:lvlJc w:val="left"/>
      <w:pPr>
        <w:tabs>
          <w:tab w:val="num" w:pos="1440"/>
        </w:tabs>
        <w:ind w:left="1440" w:hanging="360"/>
      </w:pPr>
      <w:rPr>
        <w:rFonts w:ascii="Symbol" w:hAnsi="Symbol" w:hint="default"/>
      </w:rPr>
    </w:lvl>
    <w:lvl w:ilvl="2" w:tplc="82B24C88" w:tentative="1">
      <w:start w:val="1"/>
      <w:numFmt w:val="bullet"/>
      <w:lvlText w:val=""/>
      <w:lvlJc w:val="left"/>
      <w:pPr>
        <w:tabs>
          <w:tab w:val="num" w:pos="2160"/>
        </w:tabs>
        <w:ind w:left="2160" w:hanging="360"/>
      </w:pPr>
      <w:rPr>
        <w:rFonts w:ascii="Symbol" w:hAnsi="Symbol" w:hint="default"/>
      </w:rPr>
    </w:lvl>
    <w:lvl w:ilvl="3" w:tplc="809C524C" w:tentative="1">
      <w:start w:val="1"/>
      <w:numFmt w:val="bullet"/>
      <w:lvlText w:val=""/>
      <w:lvlJc w:val="left"/>
      <w:pPr>
        <w:tabs>
          <w:tab w:val="num" w:pos="2880"/>
        </w:tabs>
        <w:ind w:left="2880" w:hanging="360"/>
      </w:pPr>
      <w:rPr>
        <w:rFonts w:ascii="Symbol" w:hAnsi="Symbol" w:hint="default"/>
      </w:rPr>
    </w:lvl>
    <w:lvl w:ilvl="4" w:tplc="A1281AE8" w:tentative="1">
      <w:start w:val="1"/>
      <w:numFmt w:val="bullet"/>
      <w:lvlText w:val=""/>
      <w:lvlJc w:val="left"/>
      <w:pPr>
        <w:tabs>
          <w:tab w:val="num" w:pos="3600"/>
        </w:tabs>
        <w:ind w:left="3600" w:hanging="360"/>
      </w:pPr>
      <w:rPr>
        <w:rFonts w:ascii="Symbol" w:hAnsi="Symbol" w:hint="default"/>
      </w:rPr>
    </w:lvl>
    <w:lvl w:ilvl="5" w:tplc="8C5410BE" w:tentative="1">
      <w:start w:val="1"/>
      <w:numFmt w:val="bullet"/>
      <w:lvlText w:val=""/>
      <w:lvlJc w:val="left"/>
      <w:pPr>
        <w:tabs>
          <w:tab w:val="num" w:pos="4320"/>
        </w:tabs>
        <w:ind w:left="4320" w:hanging="360"/>
      </w:pPr>
      <w:rPr>
        <w:rFonts w:ascii="Symbol" w:hAnsi="Symbol" w:hint="default"/>
      </w:rPr>
    </w:lvl>
    <w:lvl w:ilvl="6" w:tplc="A95CDF0A" w:tentative="1">
      <w:start w:val="1"/>
      <w:numFmt w:val="bullet"/>
      <w:lvlText w:val=""/>
      <w:lvlJc w:val="left"/>
      <w:pPr>
        <w:tabs>
          <w:tab w:val="num" w:pos="5040"/>
        </w:tabs>
        <w:ind w:left="5040" w:hanging="360"/>
      </w:pPr>
      <w:rPr>
        <w:rFonts w:ascii="Symbol" w:hAnsi="Symbol" w:hint="default"/>
      </w:rPr>
    </w:lvl>
    <w:lvl w:ilvl="7" w:tplc="3F12E14C" w:tentative="1">
      <w:start w:val="1"/>
      <w:numFmt w:val="bullet"/>
      <w:lvlText w:val=""/>
      <w:lvlJc w:val="left"/>
      <w:pPr>
        <w:tabs>
          <w:tab w:val="num" w:pos="5760"/>
        </w:tabs>
        <w:ind w:left="5760" w:hanging="360"/>
      </w:pPr>
      <w:rPr>
        <w:rFonts w:ascii="Symbol" w:hAnsi="Symbol" w:hint="default"/>
      </w:rPr>
    </w:lvl>
    <w:lvl w:ilvl="8" w:tplc="A448D9F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69706CE"/>
    <w:multiLevelType w:val="hybridMultilevel"/>
    <w:tmpl w:val="79529E06"/>
    <w:lvl w:ilvl="0" w:tplc="D63C508E">
      <w:start w:val="1"/>
      <w:numFmt w:val="bullet"/>
      <w:lvlText w:val="•"/>
      <w:lvlJc w:val="left"/>
      <w:pPr>
        <w:tabs>
          <w:tab w:val="num" w:pos="720"/>
        </w:tabs>
        <w:ind w:left="720" w:hanging="360"/>
      </w:pPr>
      <w:rPr>
        <w:rFonts w:ascii="Arial" w:hAnsi="Arial" w:hint="default"/>
      </w:rPr>
    </w:lvl>
    <w:lvl w:ilvl="1" w:tplc="D5A0014C" w:tentative="1">
      <w:start w:val="1"/>
      <w:numFmt w:val="bullet"/>
      <w:lvlText w:val="•"/>
      <w:lvlJc w:val="left"/>
      <w:pPr>
        <w:tabs>
          <w:tab w:val="num" w:pos="1440"/>
        </w:tabs>
        <w:ind w:left="1440" w:hanging="360"/>
      </w:pPr>
      <w:rPr>
        <w:rFonts w:ascii="Arial" w:hAnsi="Arial" w:hint="default"/>
      </w:rPr>
    </w:lvl>
    <w:lvl w:ilvl="2" w:tplc="26CEF664" w:tentative="1">
      <w:start w:val="1"/>
      <w:numFmt w:val="bullet"/>
      <w:lvlText w:val="•"/>
      <w:lvlJc w:val="left"/>
      <w:pPr>
        <w:tabs>
          <w:tab w:val="num" w:pos="2160"/>
        </w:tabs>
        <w:ind w:left="2160" w:hanging="360"/>
      </w:pPr>
      <w:rPr>
        <w:rFonts w:ascii="Arial" w:hAnsi="Arial" w:hint="default"/>
      </w:rPr>
    </w:lvl>
    <w:lvl w:ilvl="3" w:tplc="25E04740" w:tentative="1">
      <w:start w:val="1"/>
      <w:numFmt w:val="bullet"/>
      <w:lvlText w:val="•"/>
      <w:lvlJc w:val="left"/>
      <w:pPr>
        <w:tabs>
          <w:tab w:val="num" w:pos="2880"/>
        </w:tabs>
        <w:ind w:left="2880" w:hanging="360"/>
      </w:pPr>
      <w:rPr>
        <w:rFonts w:ascii="Arial" w:hAnsi="Arial" w:hint="default"/>
      </w:rPr>
    </w:lvl>
    <w:lvl w:ilvl="4" w:tplc="D41CC55E" w:tentative="1">
      <w:start w:val="1"/>
      <w:numFmt w:val="bullet"/>
      <w:lvlText w:val="•"/>
      <w:lvlJc w:val="left"/>
      <w:pPr>
        <w:tabs>
          <w:tab w:val="num" w:pos="3600"/>
        </w:tabs>
        <w:ind w:left="3600" w:hanging="360"/>
      </w:pPr>
      <w:rPr>
        <w:rFonts w:ascii="Arial" w:hAnsi="Arial" w:hint="default"/>
      </w:rPr>
    </w:lvl>
    <w:lvl w:ilvl="5" w:tplc="1E1C6D34" w:tentative="1">
      <w:start w:val="1"/>
      <w:numFmt w:val="bullet"/>
      <w:lvlText w:val="•"/>
      <w:lvlJc w:val="left"/>
      <w:pPr>
        <w:tabs>
          <w:tab w:val="num" w:pos="4320"/>
        </w:tabs>
        <w:ind w:left="4320" w:hanging="360"/>
      </w:pPr>
      <w:rPr>
        <w:rFonts w:ascii="Arial" w:hAnsi="Arial" w:hint="default"/>
      </w:rPr>
    </w:lvl>
    <w:lvl w:ilvl="6" w:tplc="D9949638" w:tentative="1">
      <w:start w:val="1"/>
      <w:numFmt w:val="bullet"/>
      <w:lvlText w:val="•"/>
      <w:lvlJc w:val="left"/>
      <w:pPr>
        <w:tabs>
          <w:tab w:val="num" w:pos="5040"/>
        </w:tabs>
        <w:ind w:left="5040" w:hanging="360"/>
      </w:pPr>
      <w:rPr>
        <w:rFonts w:ascii="Arial" w:hAnsi="Arial" w:hint="default"/>
      </w:rPr>
    </w:lvl>
    <w:lvl w:ilvl="7" w:tplc="8C6EE15E" w:tentative="1">
      <w:start w:val="1"/>
      <w:numFmt w:val="bullet"/>
      <w:lvlText w:val="•"/>
      <w:lvlJc w:val="left"/>
      <w:pPr>
        <w:tabs>
          <w:tab w:val="num" w:pos="5760"/>
        </w:tabs>
        <w:ind w:left="5760" w:hanging="360"/>
      </w:pPr>
      <w:rPr>
        <w:rFonts w:ascii="Arial" w:hAnsi="Arial" w:hint="default"/>
      </w:rPr>
    </w:lvl>
    <w:lvl w:ilvl="8" w:tplc="5E96FF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015C96"/>
    <w:multiLevelType w:val="hybridMultilevel"/>
    <w:tmpl w:val="C972BD2E"/>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1515FD"/>
    <w:multiLevelType w:val="hybridMultilevel"/>
    <w:tmpl w:val="8DA46B9A"/>
    <w:lvl w:ilvl="0" w:tplc="8390B49C">
      <w:start w:val="1"/>
      <w:numFmt w:val="bullet"/>
      <w:lvlText w:val=""/>
      <w:lvlJc w:val="left"/>
      <w:pPr>
        <w:tabs>
          <w:tab w:val="num" w:pos="720"/>
        </w:tabs>
        <w:ind w:left="720" w:hanging="360"/>
      </w:pPr>
      <w:rPr>
        <w:rFonts w:ascii="Symbol" w:hAnsi="Symbol" w:hint="default"/>
      </w:rPr>
    </w:lvl>
    <w:lvl w:ilvl="1" w:tplc="4FE45CBA" w:tentative="1">
      <w:start w:val="1"/>
      <w:numFmt w:val="bullet"/>
      <w:lvlText w:val=""/>
      <w:lvlJc w:val="left"/>
      <w:pPr>
        <w:tabs>
          <w:tab w:val="num" w:pos="1440"/>
        </w:tabs>
        <w:ind w:left="1440" w:hanging="360"/>
      </w:pPr>
      <w:rPr>
        <w:rFonts w:ascii="Symbol" w:hAnsi="Symbol" w:hint="default"/>
      </w:rPr>
    </w:lvl>
    <w:lvl w:ilvl="2" w:tplc="BBAEB3B4" w:tentative="1">
      <w:start w:val="1"/>
      <w:numFmt w:val="bullet"/>
      <w:lvlText w:val=""/>
      <w:lvlJc w:val="left"/>
      <w:pPr>
        <w:tabs>
          <w:tab w:val="num" w:pos="2160"/>
        </w:tabs>
        <w:ind w:left="2160" w:hanging="360"/>
      </w:pPr>
      <w:rPr>
        <w:rFonts w:ascii="Symbol" w:hAnsi="Symbol" w:hint="default"/>
      </w:rPr>
    </w:lvl>
    <w:lvl w:ilvl="3" w:tplc="AF12E772" w:tentative="1">
      <w:start w:val="1"/>
      <w:numFmt w:val="bullet"/>
      <w:lvlText w:val=""/>
      <w:lvlJc w:val="left"/>
      <w:pPr>
        <w:tabs>
          <w:tab w:val="num" w:pos="2880"/>
        </w:tabs>
        <w:ind w:left="2880" w:hanging="360"/>
      </w:pPr>
      <w:rPr>
        <w:rFonts w:ascii="Symbol" w:hAnsi="Symbol" w:hint="default"/>
      </w:rPr>
    </w:lvl>
    <w:lvl w:ilvl="4" w:tplc="90BAC1A8" w:tentative="1">
      <w:start w:val="1"/>
      <w:numFmt w:val="bullet"/>
      <w:lvlText w:val=""/>
      <w:lvlJc w:val="left"/>
      <w:pPr>
        <w:tabs>
          <w:tab w:val="num" w:pos="3600"/>
        </w:tabs>
        <w:ind w:left="3600" w:hanging="360"/>
      </w:pPr>
      <w:rPr>
        <w:rFonts w:ascii="Symbol" w:hAnsi="Symbol" w:hint="default"/>
      </w:rPr>
    </w:lvl>
    <w:lvl w:ilvl="5" w:tplc="DE2E0432" w:tentative="1">
      <w:start w:val="1"/>
      <w:numFmt w:val="bullet"/>
      <w:lvlText w:val=""/>
      <w:lvlJc w:val="left"/>
      <w:pPr>
        <w:tabs>
          <w:tab w:val="num" w:pos="4320"/>
        </w:tabs>
        <w:ind w:left="4320" w:hanging="360"/>
      </w:pPr>
      <w:rPr>
        <w:rFonts w:ascii="Symbol" w:hAnsi="Symbol" w:hint="default"/>
      </w:rPr>
    </w:lvl>
    <w:lvl w:ilvl="6" w:tplc="4A0C3C30" w:tentative="1">
      <w:start w:val="1"/>
      <w:numFmt w:val="bullet"/>
      <w:lvlText w:val=""/>
      <w:lvlJc w:val="left"/>
      <w:pPr>
        <w:tabs>
          <w:tab w:val="num" w:pos="5040"/>
        </w:tabs>
        <w:ind w:left="5040" w:hanging="360"/>
      </w:pPr>
      <w:rPr>
        <w:rFonts w:ascii="Symbol" w:hAnsi="Symbol" w:hint="default"/>
      </w:rPr>
    </w:lvl>
    <w:lvl w:ilvl="7" w:tplc="7B502FC6" w:tentative="1">
      <w:start w:val="1"/>
      <w:numFmt w:val="bullet"/>
      <w:lvlText w:val=""/>
      <w:lvlJc w:val="left"/>
      <w:pPr>
        <w:tabs>
          <w:tab w:val="num" w:pos="5760"/>
        </w:tabs>
        <w:ind w:left="5760" w:hanging="360"/>
      </w:pPr>
      <w:rPr>
        <w:rFonts w:ascii="Symbol" w:hAnsi="Symbol" w:hint="default"/>
      </w:rPr>
    </w:lvl>
    <w:lvl w:ilvl="8" w:tplc="4382467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D371C1"/>
    <w:multiLevelType w:val="hybridMultilevel"/>
    <w:tmpl w:val="ACEED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D2299"/>
    <w:multiLevelType w:val="hybridMultilevel"/>
    <w:tmpl w:val="F6F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A43C4"/>
    <w:multiLevelType w:val="hybridMultilevel"/>
    <w:tmpl w:val="D39EDDDE"/>
    <w:lvl w:ilvl="0" w:tplc="40DCAD7E">
      <w:start w:val="1"/>
      <w:numFmt w:val="bullet"/>
      <w:lvlText w:val="•"/>
      <w:lvlJc w:val="left"/>
      <w:pPr>
        <w:tabs>
          <w:tab w:val="num" w:pos="720"/>
        </w:tabs>
        <w:ind w:left="720" w:hanging="360"/>
      </w:pPr>
      <w:rPr>
        <w:rFonts w:ascii="Arial" w:hAnsi="Arial" w:hint="default"/>
      </w:rPr>
    </w:lvl>
    <w:lvl w:ilvl="1" w:tplc="58287D74" w:tentative="1">
      <w:start w:val="1"/>
      <w:numFmt w:val="bullet"/>
      <w:lvlText w:val="•"/>
      <w:lvlJc w:val="left"/>
      <w:pPr>
        <w:tabs>
          <w:tab w:val="num" w:pos="1440"/>
        </w:tabs>
        <w:ind w:left="1440" w:hanging="360"/>
      </w:pPr>
      <w:rPr>
        <w:rFonts w:ascii="Arial" w:hAnsi="Arial" w:hint="default"/>
      </w:rPr>
    </w:lvl>
    <w:lvl w:ilvl="2" w:tplc="287EDDE2" w:tentative="1">
      <w:start w:val="1"/>
      <w:numFmt w:val="bullet"/>
      <w:lvlText w:val="•"/>
      <w:lvlJc w:val="left"/>
      <w:pPr>
        <w:tabs>
          <w:tab w:val="num" w:pos="2160"/>
        </w:tabs>
        <w:ind w:left="2160" w:hanging="360"/>
      </w:pPr>
      <w:rPr>
        <w:rFonts w:ascii="Arial" w:hAnsi="Arial" w:hint="default"/>
      </w:rPr>
    </w:lvl>
    <w:lvl w:ilvl="3" w:tplc="A580A334" w:tentative="1">
      <w:start w:val="1"/>
      <w:numFmt w:val="bullet"/>
      <w:lvlText w:val="•"/>
      <w:lvlJc w:val="left"/>
      <w:pPr>
        <w:tabs>
          <w:tab w:val="num" w:pos="2880"/>
        </w:tabs>
        <w:ind w:left="2880" w:hanging="360"/>
      </w:pPr>
      <w:rPr>
        <w:rFonts w:ascii="Arial" w:hAnsi="Arial" w:hint="default"/>
      </w:rPr>
    </w:lvl>
    <w:lvl w:ilvl="4" w:tplc="A1F82392" w:tentative="1">
      <w:start w:val="1"/>
      <w:numFmt w:val="bullet"/>
      <w:lvlText w:val="•"/>
      <w:lvlJc w:val="left"/>
      <w:pPr>
        <w:tabs>
          <w:tab w:val="num" w:pos="3600"/>
        </w:tabs>
        <w:ind w:left="3600" w:hanging="360"/>
      </w:pPr>
      <w:rPr>
        <w:rFonts w:ascii="Arial" w:hAnsi="Arial" w:hint="default"/>
      </w:rPr>
    </w:lvl>
    <w:lvl w:ilvl="5" w:tplc="F6A84270" w:tentative="1">
      <w:start w:val="1"/>
      <w:numFmt w:val="bullet"/>
      <w:lvlText w:val="•"/>
      <w:lvlJc w:val="left"/>
      <w:pPr>
        <w:tabs>
          <w:tab w:val="num" w:pos="4320"/>
        </w:tabs>
        <w:ind w:left="4320" w:hanging="360"/>
      </w:pPr>
      <w:rPr>
        <w:rFonts w:ascii="Arial" w:hAnsi="Arial" w:hint="default"/>
      </w:rPr>
    </w:lvl>
    <w:lvl w:ilvl="6" w:tplc="4AACF754" w:tentative="1">
      <w:start w:val="1"/>
      <w:numFmt w:val="bullet"/>
      <w:lvlText w:val="•"/>
      <w:lvlJc w:val="left"/>
      <w:pPr>
        <w:tabs>
          <w:tab w:val="num" w:pos="5040"/>
        </w:tabs>
        <w:ind w:left="5040" w:hanging="360"/>
      </w:pPr>
      <w:rPr>
        <w:rFonts w:ascii="Arial" w:hAnsi="Arial" w:hint="default"/>
      </w:rPr>
    </w:lvl>
    <w:lvl w:ilvl="7" w:tplc="1952CD1E" w:tentative="1">
      <w:start w:val="1"/>
      <w:numFmt w:val="bullet"/>
      <w:lvlText w:val="•"/>
      <w:lvlJc w:val="left"/>
      <w:pPr>
        <w:tabs>
          <w:tab w:val="num" w:pos="5760"/>
        </w:tabs>
        <w:ind w:left="5760" w:hanging="360"/>
      </w:pPr>
      <w:rPr>
        <w:rFonts w:ascii="Arial" w:hAnsi="Arial" w:hint="default"/>
      </w:rPr>
    </w:lvl>
    <w:lvl w:ilvl="8" w:tplc="90A0B2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881969"/>
    <w:multiLevelType w:val="hybridMultilevel"/>
    <w:tmpl w:val="096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0929">
    <w:abstractNumId w:val="5"/>
  </w:num>
  <w:num w:numId="2" w16cid:durableId="484590836">
    <w:abstractNumId w:val="0"/>
  </w:num>
  <w:num w:numId="3" w16cid:durableId="299698547">
    <w:abstractNumId w:val="7"/>
  </w:num>
  <w:num w:numId="4" w16cid:durableId="791099694">
    <w:abstractNumId w:val="10"/>
  </w:num>
  <w:num w:numId="5" w16cid:durableId="1037193062">
    <w:abstractNumId w:val="19"/>
  </w:num>
  <w:num w:numId="6" w16cid:durableId="885339780">
    <w:abstractNumId w:val="18"/>
  </w:num>
  <w:num w:numId="7" w16cid:durableId="1411809170">
    <w:abstractNumId w:val="13"/>
  </w:num>
  <w:num w:numId="8" w16cid:durableId="1781218838">
    <w:abstractNumId w:val="1"/>
  </w:num>
  <w:num w:numId="9" w16cid:durableId="659192815">
    <w:abstractNumId w:val="14"/>
  </w:num>
  <w:num w:numId="10" w16cid:durableId="1836724987">
    <w:abstractNumId w:val="16"/>
  </w:num>
  <w:num w:numId="11" w16cid:durableId="469440709">
    <w:abstractNumId w:val="15"/>
  </w:num>
  <w:num w:numId="12" w16cid:durableId="1850101901">
    <w:abstractNumId w:val="12"/>
  </w:num>
  <w:num w:numId="13" w16cid:durableId="1991203999">
    <w:abstractNumId w:val="4"/>
  </w:num>
  <w:num w:numId="14" w16cid:durableId="1120341872">
    <w:abstractNumId w:val="3"/>
  </w:num>
  <w:num w:numId="15" w16cid:durableId="1299263416">
    <w:abstractNumId w:val="8"/>
  </w:num>
  <w:num w:numId="16" w16cid:durableId="1891503040">
    <w:abstractNumId w:val="2"/>
  </w:num>
  <w:num w:numId="17" w16cid:durableId="25956071">
    <w:abstractNumId w:val="17"/>
  </w:num>
  <w:num w:numId="18" w16cid:durableId="529151367">
    <w:abstractNumId w:val="6"/>
  </w:num>
  <w:num w:numId="19" w16cid:durableId="472528781">
    <w:abstractNumId w:val="11"/>
  </w:num>
  <w:num w:numId="20" w16cid:durableId="2079092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CF"/>
    <w:rsid w:val="00023E8A"/>
    <w:rsid w:val="00023EF2"/>
    <w:rsid w:val="00036354"/>
    <w:rsid w:val="00084508"/>
    <w:rsid w:val="00094F92"/>
    <w:rsid w:val="000C132C"/>
    <w:rsid w:val="000D7F5B"/>
    <w:rsid w:val="00125A03"/>
    <w:rsid w:val="00137098"/>
    <w:rsid w:val="001410E6"/>
    <w:rsid w:val="00172F84"/>
    <w:rsid w:val="00197A1E"/>
    <w:rsid w:val="001F7218"/>
    <w:rsid w:val="0022535D"/>
    <w:rsid w:val="0023651C"/>
    <w:rsid w:val="00236802"/>
    <w:rsid w:val="00275E39"/>
    <w:rsid w:val="002A4C21"/>
    <w:rsid w:val="003035C0"/>
    <w:rsid w:val="00324B39"/>
    <w:rsid w:val="00364651"/>
    <w:rsid w:val="00375831"/>
    <w:rsid w:val="003B0235"/>
    <w:rsid w:val="003B03F8"/>
    <w:rsid w:val="003B50BE"/>
    <w:rsid w:val="003C616C"/>
    <w:rsid w:val="00406451"/>
    <w:rsid w:val="00413DFF"/>
    <w:rsid w:val="004171AC"/>
    <w:rsid w:val="00492C25"/>
    <w:rsid w:val="004B32BA"/>
    <w:rsid w:val="004C2E80"/>
    <w:rsid w:val="00511B29"/>
    <w:rsid w:val="00512F2B"/>
    <w:rsid w:val="00520640"/>
    <w:rsid w:val="005232CF"/>
    <w:rsid w:val="00533906"/>
    <w:rsid w:val="00533F27"/>
    <w:rsid w:val="00553FAF"/>
    <w:rsid w:val="005972B1"/>
    <w:rsid w:val="005A33A5"/>
    <w:rsid w:val="005A6ECD"/>
    <w:rsid w:val="005B5A22"/>
    <w:rsid w:val="005C1087"/>
    <w:rsid w:val="005C2E07"/>
    <w:rsid w:val="005D3857"/>
    <w:rsid w:val="005D7D3D"/>
    <w:rsid w:val="00620CFE"/>
    <w:rsid w:val="00632545"/>
    <w:rsid w:val="006454F0"/>
    <w:rsid w:val="006970D0"/>
    <w:rsid w:val="006B70A9"/>
    <w:rsid w:val="006C0FFA"/>
    <w:rsid w:val="006E02C8"/>
    <w:rsid w:val="00716B86"/>
    <w:rsid w:val="007210C6"/>
    <w:rsid w:val="00744933"/>
    <w:rsid w:val="007455D4"/>
    <w:rsid w:val="0076567A"/>
    <w:rsid w:val="00776C9D"/>
    <w:rsid w:val="00795338"/>
    <w:rsid w:val="007B6FFD"/>
    <w:rsid w:val="007C4366"/>
    <w:rsid w:val="0082109D"/>
    <w:rsid w:val="00885CCB"/>
    <w:rsid w:val="00892673"/>
    <w:rsid w:val="008A07B2"/>
    <w:rsid w:val="0091562F"/>
    <w:rsid w:val="00926434"/>
    <w:rsid w:val="009676D6"/>
    <w:rsid w:val="009C01C4"/>
    <w:rsid w:val="009E67B7"/>
    <w:rsid w:val="00A02DED"/>
    <w:rsid w:val="00A33A54"/>
    <w:rsid w:val="00A3520B"/>
    <w:rsid w:val="00A3643D"/>
    <w:rsid w:val="00A43FCD"/>
    <w:rsid w:val="00A862E0"/>
    <w:rsid w:val="00A90A25"/>
    <w:rsid w:val="00AA4AC4"/>
    <w:rsid w:val="00AC121A"/>
    <w:rsid w:val="00AE1AED"/>
    <w:rsid w:val="00AF7E57"/>
    <w:rsid w:val="00B12290"/>
    <w:rsid w:val="00B1323B"/>
    <w:rsid w:val="00B22F67"/>
    <w:rsid w:val="00B33E80"/>
    <w:rsid w:val="00BB0A8F"/>
    <w:rsid w:val="00BB2659"/>
    <w:rsid w:val="00BF709A"/>
    <w:rsid w:val="00C00045"/>
    <w:rsid w:val="00C4236B"/>
    <w:rsid w:val="00C75BBF"/>
    <w:rsid w:val="00CB3BF5"/>
    <w:rsid w:val="00D73287"/>
    <w:rsid w:val="00DB1E69"/>
    <w:rsid w:val="00DB5E17"/>
    <w:rsid w:val="00E0052B"/>
    <w:rsid w:val="00E06879"/>
    <w:rsid w:val="00E34ABD"/>
    <w:rsid w:val="00E5629F"/>
    <w:rsid w:val="00E670FA"/>
    <w:rsid w:val="00E73CC9"/>
    <w:rsid w:val="00F341EE"/>
    <w:rsid w:val="00F34881"/>
    <w:rsid w:val="00F503B8"/>
    <w:rsid w:val="00F606D9"/>
    <w:rsid w:val="00F67E16"/>
    <w:rsid w:val="00F71E88"/>
    <w:rsid w:val="00F8530D"/>
    <w:rsid w:val="00FE1717"/>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CDF"/>
  <w15:chartTrackingRefBased/>
  <w15:docId w15:val="{CF9648CA-9D2C-D645-827D-C602322B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6879"/>
    <w:pPr>
      <w:keepNext/>
      <w:keepLines/>
      <w:spacing w:before="80"/>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3B0235"/>
    <w:pPr>
      <w:ind w:left="720"/>
      <w:contextualSpacing/>
    </w:pPr>
  </w:style>
  <w:style w:type="paragraph" w:styleId="PlainText">
    <w:name w:val="Plain Text"/>
    <w:basedOn w:val="Normal"/>
    <w:link w:val="PlainTextChar"/>
    <w:uiPriority w:val="99"/>
    <w:unhideWhenUsed/>
    <w:rsid w:val="007210C6"/>
    <w:rPr>
      <w:rFonts w:ascii="Calibri" w:hAnsi="Calibri" w:cs="Calibri"/>
      <w:sz w:val="22"/>
      <w:szCs w:val="22"/>
    </w:rPr>
  </w:style>
  <w:style w:type="character" w:customStyle="1" w:styleId="PlainTextChar">
    <w:name w:val="Plain Text Char"/>
    <w:basedOn w:val="DefaultParagraphFont"/>
    <w:link w:val="PlainText"/>
    <w:uiPriority w:val="99"/>
    <w:rsid w:val="007210C6"/>
    <w:rPr>
      <w:rFonts w:ascii="Calibri" w:hAnsi="Calibri" w:cs="Calibri"/>
      <w:sz w:val="22"/>
      <w:szCs w:val="22"/>
    </w:rPr>
  </w:style>
  <w:style w:type="paragraph" w:customStyle="1" w:styleId="v1msoplaintext">
    <w:name w:val="v1msoplaintext"/>
    <w:basedOn w:val="Normal"/>
    <w:rsid w:val="003C616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892673"/>
    <w:rPr>
      <w:sz w:val="20"/>
      <w:szCs w:val="20"/>
    </w:rPr>
  </w:style>
  <w:style w:type="character" w:customStyle="1" w:styleId="FootnoteTextChar">
    <w:name w:val="Footnote Text Char"/>
    <w:basedOn w:val="DefaultParagraphFont"/>
    <w:link w:val="FootnoteText"/>
    <w:uiPriority w:val="99"/>
    <w:semiHidden/>
    <w:rsid w:val="00892673"/>
    <w:rPr>
      <w:sz w:val="20"/>
      <w:szCs w:val="20"/>
    </w:rPr>
  </w:style>
  <w:style w:type="character" w:styleId="FootnoteReference">
    <w:name w:val="footnote reference"/>
    <w:basedOn w:val="DefaultParagraphFont"/>
    <w:uiPriority w:val="99"/>
    <w:semiHidden/>
    <w:unhideWhenUsed/>
    <w:rsid w:val="00892673"/>
    <w:rPr>
      <w:vertAlign w:val="superscript"/>
    </w:rPr>
  </w:style>
  <w:style w:type="paragraph" w:styleId="EndnoteText">
    <w:name w:val="endnote text"/>
    <w:basedOn w:val="Normal"/>
    <w:link w:val="EndnoteTextChar"/>
    <w:uiPriority w:val="99"/>
    <w:semiHidden/>
    <w:unhideWhenUsed/>
    <w:rsid w:val="0091562F"/>
    <w:rPr>
      <w:sz w:val="20"/>
      <w:szCs w:val="20"/>
    </w:rPr>
  </w:style>
  <w:style w:type="character" w:customStyle="1" w:styleId="EndnoteTextChar">
    <w:name w:val="Endnote Text Char"/>
    <w:basedOn w:val="DefaultParagraphFont"/>
    <w:link w:val="EndnoteText"/>
    <w:uiPriority w:val="99"/>
    <w:semiHidden/>
    <w:rsid w:val="0091562F"/>
    <w:rPr>
      <w:sz w:val="20"/>
      <w:szCs w:val="20"/>
    </w:rPr>
  </w:style>
  <w:style w:type="character" w:styleId="EndnoteReference">
    <w:name w:val="endnote reference"/>
    <w:basedOn w:val="DefaultParagraphFont"/>
    <w:uiPriority w:val="99"/>
    <w:semiHidden/>
    <w:unhideWhenUsed/>
    <w:rsid w:val="0091562F"/>
    <w:rPr>
      <w:vertAlign w:val="superscript"/>
    </w:rPr>
  </w:style>
  <w:style w:type="paragraph" w:styleId="Revision">
    <w:name w:val="Revision"/>
    <w:hidden/>
    <w:uiPriority w:val="99"/>
    <w:semiHidden/>
    <w:rsid w:val="00E06879"/>
  </w:style>
  <w:style w:type="character" w:customStyle="1" w:styleId="Heading2Char">
    <w:name w:val="Heading 2 Char"/>
    <w:basedOn w:val="DefaultParagraphFont"/>
    <w:link w:val="Heading2"/>
    <w:uiPriority w:val="9"/>
    <w:rsid w:val="00E06879"/>
    <w:rPr>
      <w:rFonts w:asciiTheme="majorHAnsi" w:eastAsiaTheme="majorEastAsia" w:hAnsiTheme="majorHAnsi" w:cstheme="majorBidi"/>
      <w:color w:val="538135" w:themeColor="accent6" w:themeShade="BF"/>
      <w:sz w:val="28"/>
      <w:szCs w:val="28"/>
    </w:rPr>
  </w:style>
  <w:style w:type="character" w:styleId="CommentReference">
    <w:name w:val="annotation reference"/>
    <w:basedOn w:val="DefaultParagraphFont"/>
    <w:uiPriority w:val="99"/>
    <w:semiHidden/>
    <w:unhideWhenUsed/>
    <w:rsid w:val="00E06879"/>
    <w:rPr>
      <w:sz w:val="16"/>
      <w:szCs w:val="16"/>
    </w:rPr>
  </w:style>
  <w:style w:type="paragraph" w:styleId="CommentText">
    <w:name w:val="annotation text"/>
    <w:basedOn w:val="Normal"/>
    <w:link w:val="CommentTextChar"/>
    <w:uiPriority w:val="99"/>
    <w:unhideWhenUsed/>
    <w:rsid w:val="00E06879"/>
    <w:rPr>
      <w:sz w:val="20"/>
      <w:szCs w:val="20"/>
    </w:rPr>
  </w:style>
  <w:style w:type="character" w:customStyle="1" w:styleId="CommentTextChar">
    <w:name w:val="Comment Text Char"/>
    <w:basedOn w:val="DefaultParagraphFont"/>
    <w:link w:val="CommentText"/>
    <w:uiPriority w:val="99"/>
    <w:rsid w:val="00E06879"/>
    <w:rPr>
      <w:sz w:val="20"/>
      <w:szCs w:val="20"/>
    </w:rPr>
  </w:style>
  <w:style w:type="paragraph" w:styleId="CommentSubject">
    <w:name w:val="annotation subject"/>
    <w:basedOn w:val="CommentText"/>
    <w:next w:val="CommentText"/>
    <w:link w:val="CommentSubjectChar"/>
    <w:uiPriority w:val="99"/>
    <w:semiHidden/>
    <w:unhideWhenUsed/>
    <w:rsid w:val="00CB3BF5"/>
    <w:rPr>
      <w:b/>
      <w:bCs/>
    </w:rPr>
  </w:style>
  <w:style w:type="character" w:customStyle="1" w:styleId="CommentSubjectChar">
    <w:name w:val="Comment Subject Char"/>
    <w:basedOn w:val="CommentTextChar"/>
    <w:link w:val="CommentSubject"/>
    <w:uiPriority w:val="99"/>
    <w:semiHidden/>
    <w:rsid w:val="00CB3BF5"/>
    <w:rPr>
      <w:b/>
      <w:bCs/>
      <w:sz w:val="20"/>
      <w:szCs w:val="20"/>
    </w:rPr>
  </w:style>
  <w:style w:type="paragraph" w:customStyle="1" w:styleId="pf0">
    <w:name w:val="pf0"/>
    <w:basedOn w:val="Normal"/>
    <w:rsid w:val="00094F92"/>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094F92"/>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D7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991">
      <w:bodyDiv w:val="1"/>
      <w:marLeft w:val="0"/>
      <w:marRight w:val="0"/>
      <w:marTop w:val="0"/>
      <w:marBottom w:val="0"/>
      <w:divBdr>
        <w:top w:val="none" w:sz="0" w:space="0" w:color="auto"/>
        <w:left w:val="none" w:sz="0" w:space="0" w:color="auto"/>
        <w:bottom w:val="none" w:sz="0" w:space="0" w:color="auto"/>
        <w:right w:val="none" w:sz="0" w:space="0" w:color="auto"/>
      </w:divBdr>
    </w:div>
    <w:div w:id="70740369">
      <w:bodyDiv w:val="1"/>
      <w:marLeft w:val="0"/>
      <w:marRight w:val="0"/>
      <w:marTop w:val="0"/>
      <w:marBottom w:val="0"/>
      <w:divBdr>
        <w:top w:val="none" w:sz="0" w:space="0" w:color="auto"/>
        <w:left w:val="none" w:sz="0" w:space="0" w:color="auto"/>
        <w:bottom w:val="none" w:sz="0" w:space="0" w:color="auto"/>
        <w:right w:val="none" w:sz="0" w:space="0" w:color="auto"/>
      </w:divBdr>
    </w:div>
    <w:div w:id="75446556">
      <w:bodyDiv w:val="1"/>
      <w:marLeft w:val="0"/>
      <w:marRight w:val="0"/>
      <w:marTop w:val="0"/>
      <w:marBottom w:val="0"/>
      <w:divBdr>
        <w:top w:val="none" w:sz="0" w:space="0" w:color="auto"/>
        <w:left w:val="none" w:sz="0" w:space="0" w:color="auto"/>
        <w:bottom w:val="none" w:sz="0" w:space="0" w:color="auto"/>
        <w:right w:val="none" w:sz="0" w:space="0" w:color="auto"/>
      </w:divBdr>
    </w:div>
    <w:div w:id="210263776">
      <w:bodyDiv w:val="1"/>
      <w:marLeft w:val="0"/>
      <w:marRight w:val="0"/>
      <w:marTop w:val="0"/>
      <w:marBottom w:val="0"/>
      <w:divBdr>
        <w:top w:val="none" w:sz="0" w:space="0" w:color="auto"/>
        <w:left w:val="none" w:sz="0" w:space="0" w:color="auto"/>
        <w:bottom w:val="none" w:sz="0" w:space="0" w:color="auto"/>
        <w:right w:val="none" w:sz="0" w:space="0" w:color="auto"/>
      </w:divBdr>
    </w:div>
    <w:div w:id="262954627">
      <w:bodyDiv w:val="1"/>
      <w:marLeft w:val="0"/>
      <w:marRight w:val="0"/>
      <w:marTop w:val="0"/>
      <w:marBottom w:val="0"/>
      <w:divBdr>
        <w:top w:val="none" w:sz="0" w:space="0" w:color="auto"/>
        <w:left w:val="none" w:sz="0" w:space="0" w:color="auto"/>
        <w:bottom w:val="none" w:sz="0" w:space="0" w:color="auto"/>
        <w:right w:val="none" w:sz="0" w:space="0" w:color="auto"/>
      </w:divBdr>
    </w:div>
    <w:div w:id="316501205">
      <w:bodyDiv w:val="1"/>
      <w:marLeft w:val="0"/>
      <w:marRight w:val="0"/>
      <w:marTop w:val="0"/>
      <w:marBottom w:val="0"/>
      <w:divBdr>
        <w:top w:val="none" w:sz="0" w:space="0" w:color="auto"/>
        <w:left w:val="none" w:sz="0" w:space="0" w:color="auto"/>
        <w:bottom w:val="none" w:sz="0" w:space="0" w:color="auto"/>
        <w:right w:val="none" w:sz="0" w:space="0" w:color="auto"/>
      </w:divBdr>
    </w:div>
    <w:div w:id="335152256">
      <w:bodyDiv w:val="1"/>
      <w:marLeft w:val="0"/>
      <w:marRight w:val="0"/>
      <w:marTop w:val="0"/>
      <w:marBottom w:val="0"/>
      <w:divBdr>
        <w:top w:val="none" w:sz="0" w:space="0" w:color="auto"/>
        <w:left w:val="none" w:sz="0" w:space="0" w:color="auto"/>
        <w:bottom w:val="none" w:sz="0" w:space="0" w:color="auto"/>
        <w:right w:val="none" w:sz="0" w:space="0" w:color="auto"/>
      </w:divBdr>
    </w:div>
    <w:div w:id="336004633">
      <w:bodyDiv w:val="1"/>
      <w:marLeft w:val="0"/>
      <w:marRight w:val="0"/>
      <w:marTop w:val="0"/>
      <w:marBottom w:val="0"/>
      <w:divBdr>
        <w:top w:val="none" w:sz="0" w:space="0" w:color="auto"/>
        <w:left w:val="none" w:sz="0" w:space="0" w:color="auto"/>
        <w:bottom w:val="none" w:sz="0" w:space="0" w:color="auto"/>
        <w:right w:val="none" w:sz="0" w:space="0" w:color="auto"/>
      </w:divBdr>
      <w:divsChild>
        <w:div w:id="1498380517">
          <w:marLeft w:val="547"/>
          <w:marRight w:val="0"/>
          <w:marTop w:val="0"/>
          <w:marBottom w:val="0"/>
          <w:divBdr>
            <w:top w:val="none" w:sz="0" w:space="0" w:color="auto"/>
            <w:left w:val="none" w:sz="0" w:space="0" w:color="auto"/>
            <w:bottom w:val="none" w:sz="0" w:space="0" w:color="auto"/>
            <w:right w:val="none" w:sz="0" w:space="0" w:color="auto"/>
          </w:divBdr>
        </w:div>
        <w:div w:id="185212381">
          <w:marLeft w:val="547"/>
          <w:marRight w:val="0"/>
          <w:marTop w:val="0"/>
          <w:marBottom w:val="0"/>
          <w:divBdr>
            <w:top w:val="none" w:sz="0" w:space="0" w:color="auto"/>
            <w:left w:val="none" w:sz="0" w:space="0" w:color="auto"/>
            <w:bottom w:val="none" w:sz="0" w:space="0" w:color="auto"/>
            <w:right w:val="none" w:sz="0" w:space="0" w:color="auto"/>
          </w:divBdr>
        </w:div>
        <w:div w:id="672488084">
          <w:marLeft w:val="547"/>
          <w:marRight w:val="0"/>
          <w:marTop w:val="0"/>
          <w:marBottom w:val="0"/>
          <w:divBdr>
            <w:top w:val="none" w:sz="0" w:space="0" w:color="auto"/>
            <w:left w:val="none" w:sz="0" w:space="0" w:color="auto"/>
            <w:bottom w:val="none" w:sz="0" w:space="0" w:color="auto"/>
            <w:right w:val="none" w:sz="0" w:space="0" w:color="auto"/>
          </w:divBdr>
        </w:div>
        <w:div w:id="1152066759">
          <w:marLeft w:val="547"/>
          <w:marRight w:val="0"/>
          <w:marTop w:val="0"/>
          <w:marBottom w:val="0"/>
          <w:divBdr>
            <w:top w:val="none" w:sz="0" w:space="0" w:color="auto"/>
            <w:left w:val="none" w:sz="0" w:space="0" w:color="auto"/>
            <w:bottom w:val="none" w:sz="0" w:space="0" w:color="auto"/>
            <w:right w:val="none" w:sz="0" w:space="0" w:color="auto"/>
          </w:divBdr>
        </w:div>
        <w:div w:id="2054235340">
          <w:marLeft w:val="547"/>
          <w:marRight w:val="0"/>
          <w:marTop w:val="0"/>
          <w:marBottom w:val="0"/>
          <w:divBdr>
            <w:top w:val="none" w:sz="0" w:space="0" w:color="auto"/>
            <w:left w:val="none" w:sz="0" w:space="0" w:color="auto"/>
            <w:bottom w:val="none" w:sz="0" w:space="0" w:color="auto"/>
            <w:right w:val="none" w:sz="0" w:space="0" w:color="auto"/>
          </w:divBdr>
        </w:div>
        <w:div w:id="1971859828">
          <w:marLeft w:val="547"/>
          <w:marRight w:val="0"/>
          <w:marTop w:val="0"/>
          <w:marBottom w:val="0"/>
          <w:divBdr>
            <w:top w:val="none" w:sz="0" w:space="0" w:color="auto"/>
            <w:left w:val="none" w:sz="0" w:space="0" w:color="auto"/>
            <w:bottom w:val="none" w:sz="0" w:space="0" w:color="auto"/>
            <w:right w:val="none" w:sz="0" w:space="0" w:color="auto"/>
          </w:divBdr>
        </w:div>
        <w:div w:id="306665525">
          <w:marLeft w:val="547"/>
          <w:marRight w:val="0"/>
          <w:marTop w:val="0"/>
          <w:marBottom w:val="0"/>
          <w:divBdr>
            <w:top w:val="none" w:sz="0" w:space="0" w:color="auto"/>
            <w:left w:val="none" w:sz="0" w:space="0" w:color="auto"/>
            <w:bottom w:val="none" w:sz="0" w:space="0" w:color="auto"/>
            <w:right w:val="none" w:sz="0" w:space="0" w:color="auto"/>
          </w:divBdr>
        </w:div>
      </w:divsChild>
    </w:div>
    <w:div w:id="354355934">
      <w:bodyDiv w:val="1"/>
      <w:marLeft w:val="0"/>
      <w:marRight w:val="0"/>
      <w:marTop w:val="0"/>
      <w:marBottom w:val="0"/>
      <w:divBdr>
        <w:top w:val="none" w:sz="0" w:space="0" w:color="auto"/>
        <w:left w:val="none" w:sz="0" w:space="0" w:color="auto"/>
        <w:bottom w:val="none" w:sz="0" w:space="0" w:color="auto"/>
        <w:right w:val="none" w:sz="0" w:space="0" w:color="auto"/>
      </w:divBdr>
    </w:div>
    <w:div w:id="390495552">
      <w:bodyDiv w:val="1"/>
      <w:marLeft w:val="0"/>
      <w:marRight w:val="0"/>
      <w:marTop w:val="0"/>
      <w:marBottom w:val="0"/>
      <w:divBdr>
        <w:top w:val="none" w:sz="0" w:space="0" w:color="auto"/>
        <w:left w:val="none" w:sz="0" w:space="0" w:color="auto"/>
        <w:bottom w:val="none" w:sz="0" w:space="0" w:color="auto"/>
        <w:right w:val="none" w:sz="0" w:space="0" w:color="auto"/>
      </w:divBdr>
    </w:div>
    <w:div w:id="460615695">
      <w:bodyDiv w:val="1"/>
      <w:marLeft w:val="0"/>
      <w:marRight w:val="0"/>
      <w:marTop w:val="0"/>
      <w:marBottom w:val="0"/>
      <w:divBdr>
        <w:top w:val="none" w:sz="0" w:space="0" w:color="auto"/>
        <w:left w:val="none" w:sz="0" w:space="0" w:color="auto"/>
        <w:bottom w:val="none" w:sz="0" w:space="0" w:color="auto"/>
        <w:right w:val="none" w:sz="0" w:space="0" w:color="auto"/>
      </w:divBdr>
    </w:div>
    <w:div w:id="565606327">
      <w:bodyDiv w:val="1"/>
      <w:marLeft w:val="0"/>
      <w:marRight w:val="0"/>
      <w:marTop w:val="0"/>
      <w:marBottom w:val="0"/>
      <w:divBdr>
        <w:top w:val="none" w:sz="0" w:space="0" w:color="auto"/>
        <w:left w:val="none" w:sz="0" w:space="0" w:color="auto"/>
        <w:bottom w:val="none" w:sz="0" w:space="0" w:color="auto"/>
        <w:right w:val="none" w:sz="0" w:space="0" w:color="auto"/>
      </w:divBdr>
    </w:div>
    <w:div w:id="567300620">
      <w:bodyDiv w:val="1"/>
      <w:marLeft w:val="0"/>
      <w:marRight w:val="0"/>
      <w:marTop w:val="0"/>
      <w:marBottom w:val="0"/>
      <w:divBdr>
        <w:top w:val="none" w:sz="0" w:space="0" w:color="auto"/>
        <w:left w:val="none" w:sz="0" w:space="0" w:color="auto"/>
        <w:bottom w:val="none" w:sz="0" w:space="0" w:color="auto"/>
        <w:right w:val="none" w:sz="0" w:space="0" w:color="auto"/>
      </w:divBdr>
    </w:div>
    <w:div w:id="588731190">
      <w:bodyDiv w:val="1"/>
      <w:marLeft w:val="0"/>
      <w:marRight w:val="0"/>
      <w:marTop w:val="0"/>
      <w:marBottom w:val="0"/>
      <w:divBdr>
        <w:top w:val="none" w:sz="0" w:space="0" w:color="auto"/>
        <w:left w:val="none" w:sz="0" w:space="0" w:color="auto"/>
        <w:bottom w:val="none" w:sz="0" w:space="0" w:color="auto"/>
        <w:right w:val="none" w:sz="0" w:space="0" w:color="auto"/>
      </w:divBdr>
    </w:div>
    <w:div w:id="697895932">
      <w:bodyDiv w:val="1"/>
      <w:marLeft w:val="0"/>
      <w:marRight w:val="0"/>
      <w:marTop w:val="0"/>
      <w:marBottom w:val="0"/>
      <w:divBdr>
        <w:top w:val="none" w:sz="0" w:space="0" w:color="auto"/>
        <w:left w:val="none" w:sz="0" w:space="0" w:color="auto"/>
        <w:bottom w:val="none" w:sz="0" w:space="0" w:color="auto"/>
        <w:right w:val="none" w:sz="0" w:space="0" w:color="auto"/>
      </w:divBdr>
    </w:div>
    <w:div w:id="805008349">
      <w:bodyDiv w:val="1"/>
      <w:marLeft w:val="0"/>
      <w:marRight w:val="0"/>
      <w:marTop w:val="0"/>
      <w:marBottom w:val="0"/>
      <w:divBdr>
        <w:top w:val="none" w:sz="0" w:space="0" w:color="auto"/>
        <w:left w:val="none" w:sz="0" w:space="0" w:color="auto"/>
        <w:bottom w:val="none" w:sz="0" w:space="0" w:color="auto"/>
        <w:right w:val="none" w:sz="0" w:space="0" w:color="auto"/>
      </w:divBdr>
      <w:divsChild>
        <w:div w:id="1219393648">
          <w:marLeft w:val="360"/>
          <w:marRight w:val="0"/>
          <w:marTop w:val="200"/>
          <w:marBottom w:val="0"/>
          <w:divBdr>
            <w:top w:val="none" w:sz="0" w:space="0" w:color="auto"/>
            <w:left w:val="none" w:sz="0" w:space="0" w:color="auto"/>
            <w:bottom w:val="none" w:sz="0" w:space="0" w:color="auto"/>
            <w:right w:val="none" w:sz="0" w:space="0" w:color="auto"/>
          </w:divBdr>
        </w:div>
        <w:div w:id="80491775">
          <w:marLeft w:val="360"/>
          <w:marRight w:val="0"/>
          <w:marTop w:val="200"/>
          <w:marBottom w:val="0"/>
          <w:divBdr>
            <w:top w:val="none" w:sz="0" w:space="0" w:color="auto"/>
            <w:left w:val="none" w:sz="0" w:space="0" w:color="auto"/>
            <w:bottom w:val="none" w:sz="0" w:space="0" w:color="auto"/>
            <w:right w:val="none" w:sz="0" w:space="0" w:color="auto"/>
          </w:divBdr>
        </w:div>
        <w:div w:id="1785348169">
          <w:marLeft w:val="360"/>
          <w:marRight w:val="0"/>
          <w:marTop w:val="200"/>
          <w:marBottom w:val="0"/>
          <w:divBdr>
            <w:top w:val="none" w:sz="0" w:space="0" w:color="auto"/>
            <w:left w:val="none" w:sz="0" w:space="0" w:color="auto"/>
            <w:bottom w:val="none" w:sz="0" w:space="0" w:color="auto"/>
            <w:right w:val="none" w:sz="0" w:space="0" w:color="auto"/>
          </w:divBdr>
        </w:div>
        <w:div w:id="584612823">
          <w:marLeft w:val="360"/>
          <w:marRight w:val="0"/>
          <w:marTop w:val="200"/>
          <w:marBottom w:val="0"/>
          <w:divBdr>
            <w:top w:val="none" w:sz="0" w:space="0" w:color="auto"/>
            <w:left w:val="none" w:sz="0" w:space="0" w:color="auto"/>
            <w:bottom w:val="none" w:sz="0" w:space="0" w:color="auto"/>
            <w:right w:val="none" w:sz="0" w:space="0" w:color="auto"/>
          </w:divBdr>
        </w:div>
        <w:div w:id="758525745">
          <w:marLeft w:val="360"/>
          <w:marRight w:val="0"/>
          <w:marTop w:val="200"/>
          <w:marBottom w:val="0"/>
          <w:divBdr>
            <w:top w:val="none" w:sz="0" w:space="0" w:color="auto"/>
            <w:left w:val="none" w:sz="0" w:space="0" w:color="auto"/>
            <w:bottom w:val="none" w:sz="0" w:space="0" w:color="auto"/>
            <w:right w:val="none" w:sz="0" w:space="0" w:color="auto"/>
          </w:divBdr>
        </w:div>
        <w:div w:id="1506702176">
          <w:marLeft w:val="360"/>
          <w:marRight w:val="0"/>
          <w:marTop w:val="200"/>
          <w:marBottom w:val="0"/>
          <w:divBdr>
            <w:top w:val="none" w:sz="0" w:space="0" w:color="auto"/>
            <w:left w:val="none" w:sz="0" w:space="0" w:color="auto"/>
            <w:bottom w:val="none" w:sz="0" w:space="0" w:color="auto"/>
            <w:right w:val="none" w:sz="0" w:space="0" w:color="auto"/>
          </w:divBdr>
        </w:div>
        <w:div w:id="210189275">
          <w:marLeft w:val="360"/>
          <w:marRight w:val="0"/>
          <w:marTop w:val="200"/>
          <w:marBottom w:val="0"/>
          <w:divBdr>
            <w:top w:val="none" w:sz="0" w:space="0" w:color="auto"/>
            <w:left w:val="none" w:sz="0" w:space="0" w:color="auto"/>
            <w:bottom w:val="none" w:sz="0" w:space="0" w:color="auto"/>
            <w:right w:val="none" w:sz="0" w:space="0" w:color="auto"/>
          </w:divBdr>
        </w:div>
        <w:div w:id="886527980">
          <w:marLeft w:val="360"/>
          <w:marRight w:val="0"/>
          <w:marTop w:val="200"/>
          <w:marBottom w:val="0"/>
          <w:divBdr>
            <w:top w:val="none" w:sz="0" w:space="0" w:color="auto"/>
            <w:left w:val="none" w:sz="0" w:space="0" w:color="auto"/>
            <w:bottom w:val="none" w:sz="0" w:space="0" w:color="auto"/>
            <w:right w:val="none" w:sz="0" w:space="0" w:color="auto"/>
          </w:divBdr>
        </w:div>
        <w:div w:id="1049307757">
          <w:marLeft w:val="360"/>
          <w:marRight w:val="0"/>
          <w:marTop w:val="200"/>
          <w:marBottom w:val="0"/>
          <w:divBdr>
            <w:top w:val="none" w:sz="0" w:space="0" w:color="auto"/>
            <w:left w:val="none" w:sz="0" w:space="0" w:color="auto"/>
            <w:bottom w:val="none" w:sz="0" w:space="0" w:color="auto"/>
            <w:right w:val="none" w:sz="0" w:space="0" w:color="auto"/>
          </w:divBdr>
        </w:div>
      </w:divsChild>
    </w:div>
    <w:div w:id="839664286">
      <w:bodyDiv w:val="1"/>
      <w:marLeft w:val="0"/>
      <w:marRight w:val="0"/>
      <w:marTop w:val="0"/>
      <w:marBottom w:val="0"/>
      <w:divBdr>
        <w:top w:val="none" w:sz="0" w:space="0" w:color="auto"/>
        <w:left w:val="none" w:sz="0" w:space="0" w:color="auto"/>
        <w:bottom w:val="none" w:sz="0" w:space="0" w:color="auto"/>
        <w:right w:val="none" w:sz="0" w:space="0" w:color="auto"/>
      </w:divBdr>
    </w:div>
    <w:div w:id="874580915">
      <w:bodyDiv w:val="1"/>
      <w:marLeft w:val="0"/>
      <w:marRight w:val="0"/>
      <w:marTop w:val="0"/>
      <w:marBottom w:val="0"/>
      <w:divBdr>
        <w:top w:val="none" w:sz="0" w:space="0" w:color="auto"/>
        <w:left w:val="none" w:sz="0" w:space="0" w:color="auto"/>
        <w:bottom w:val="none" w:sz="0" w:space="0" w:color="auto"/>
        <w:right w:val="none" w:sz="0" w:space="0" w:color="auto"/>
      </w:divBdr>
    </w:div>
    <w:div w:id="884565699">
      <w:bodyDiv w:val="1"/>
      <w:marLeft w:val="0"/>
      <w:marRight w:val="0"/>
      <w:marTop w:val="0"/>
      <w:marBottom w:val="0"/>
      <w:divBdr>
        <w:top w:val="none" w:sz="0" w:space="0" w:color="auto"/>
        <w:left w:val="none" w:sz="0" w:space="0" w:color="auto"/>
        <w:bottom w:val="none" w:sz="0" w:space="0" w:color="auto"/>
        <w:right w:val="none" w:sz="0" w:space="0" w:color="auto"/>
      </w:divBdr>
    </w:div>
    <w:div w:id="1041057577">
      <w:bodyDiv w:val="1"/>
      <w:marLeft w:val="0"/>
      <w:marRight w:val="0"/>
      <w:marTop w:val="0"/>
      <w:marBottom w:val="0"/>
      <w:divBdr>
        <w:top w:val="none" w:sz="0" w:space="0" w:color="auto"/>
        <w:left w:val="none" w:sz="0" w:space="0" w:color="auto"/>
        <w:bottom w:val="none" w:sz="0" w:space="0" w:color="auto"/>
        <w:right w:val="none" w:sz="0" w:space="0" w:color="auto"/>
      </w:divBdr>
    </w:div>
    <w:div w:id="1091009664">
      <w:bodyDiv w:val="1"/>
      <w:marLeft w:val="0"/>
      <w:marRight w:val="0"/>
      <w:marTop w:val="0"/>
      <w:marBottom w:val="0"/>
      <w:divBdr>
        <w:top w:val="none" w:sz="0" w:space="0" w:color="auto"/>
        <w:left w:val="none" w:sz="0" w:space="0" w:color="auto"/>
        <w:bottom w:val="none" w:sz="0" w:space="0" w:color="auto"/>
        <w:right w:val="none" w:sz="0" w:space="0" w:color="auto"/>
      </w:divBdr>
    </w:div>
    <w:div w:id="1095974390">
      <w:bodyDiv w:val="1"/>
      <w:marLeft w:val="0"/>
      <w:marRight w:val="0"/>
      <w:marTop w:val="0"/>
      <w:marBottom w:val="0"/>
      <w:divBdr>
        <w:top w:val="none" w:sz="0" w:space="0" w:color="auto"/>
        <w:left w:val="none" w:sz="0" w:space="0" w:color="auto"/>
        <w:bottom w:val="none" w:sz="0" w:space="0" w:color="auto"/>
        <w:right w:val="none" w:sz="0" w:space="0" w:color="auto"/>
      </w:divBdr>
    </w:div>
    <w:div w:id="1237865462">
      <w:bodyDiv w:val="1"/>
      <w:marLeft w:val="0"/>
      <w:marRight w:val="0"/>
      <w:marTop w:val="0"/>
      <w:marBottom w:val="0"/>
      <w:divBdr>
        <w:top w:val="none" w:sz="0" w:space="0" w:color="auto"/>
        <w:left w:val="none" w:sz="0" w:space="0" w:color="auto"/>
        <w:bottom w:val="none" w:sz="0" w:space="0" w:color="auto"/>
        <w:right w:val="none" w:sz="0" w:space="0" w:color="auto"/>
      </w:divBdr>
      <w:divsChild>
        <w:div w:id="1912233619">
          <w:marLeft w:val="547"/>
          <w:marRight w:val="0"/>
          <w:marTop w:val="200"/>
          <w:marBottom w:val="0"/>
          <w:divBdr>
            <w:top w:val="none" w:sz="0" w:space="0" w:color="auto"/>
            <w:left w:val="none" w:sz="0" w:space="0" w:color="auto"/>
            <w:bottom w:val="none" w:sz="0" w:space="0" w:color="auto"/>
            <w:right w:val="none" w:sz="0" w:space="0" w:color="auto"/>
          </w:divBdr>
        </w:div>
        <w:div w:id="1906797645">
          <w:marLeft w:val="547"/>
          <w:marRight w:val="0"/>
          <w:marTop w:val="200"/>
          <w:marBottom w:val="0"/>
          <w:divBdr>
            <w:top w:val="none" w:sz="0" w:space="0" w:color="auto"/>
            <w:left w:val="none" w:sz="0" w:space="0" w:color="auto"/>
            <w:bottom w:val="none" w:sz="0" w:space="0" w:color="auto"/>
            <w:right w:val="none" w:sz="0" w:space="0" w:color="auto"/>
          </w:divBdr>
        </w:div>
        <w:div w:id="1089816622">
          <w:marLeft w:val="547"/>
          <w:marRight w:val="0"/>
          <w:marTop w:val="200"/>
          <w:marBottom w:val="0"/>
          <w:divBdr>
            <w:top w:val="none" w:sz="0" w:space="0" w:color="auto"/>
            <w:left w:val="none" w:sz="0" w:space="0" w:color="auto"/>
            <w:bottom w:val="none" w:sz="0" w:space="0" w:color="auto"/>
            <w:right w:val="none" w:sz="0" w:space="0" w:color="auto"/>
          </w:divBdr>
        </w:div>
        <w:div w:id="413670457">
          <w:marLeft w:val="547"/>
          <w:marRight w:val="0"/>
          <w:marTop w:val="200"/>
          <w:marBottom w:val="0"/>
          <w:divBdr>
            <w:top w:val="none" w:sz="0" w:space="0" w:color="auto"/>
            <w:left w:val="none" w:sz="0" w:space="0" w:color="auto"/>
            <w:bottom w:val="none" w:sz="0" w:space="0" w:color="auto"/>
            <w:right w:val="none" w:sz="0" w:space="0" w:color="auto"/>
          </w:divBdr>
        </w:div>
        <w:div w:id="93093686">
          <w:marLeft w:val="547"/>
          <w:marRight w:val="0"/>
          <w:marTop w:val="200"/>
          <w:marBottom w:val="0"/>
          <w:divBdr>
            <w:top w:val="none" w:sz="0" w:space="0" w:color="auto"/>
            <w:left w:val="none" w:sz="0" w:space="0" w:color="auto"/>
            <w:bottom w:val="none" w:sz="0" w:space="0" w:color="auto"/>
            <w:right w:val="none" w:sz="0" w:space="0" w:color="auto"/>
          </w:divBdr>
        </w:div>
        <w:div w:id="1366101423">
          <w:marLeft w:val="547"/>
          <w:marRight w:val="0"/>
          <w:marTop w:val="200"/>
          <w:marBottom w:val="0"/>
          <w:divBdr>
            <w:top w:val="none" w:sz="0" w:space="0" w:color="auto"/>
            <w:left w:val="none" w:sz="0" w:space="0" w:color="auto"/>
            <w:bottom w:val="none" w:sz="0" w:space="0" w:color="auto"/>
            <w:right w:val="none" w:sz="0" w:space="0" w:color="auto"/>
          </w:divBdr>
        </w:div>
        <w:div w:id="1704791173">
          <w:marLeft w:val="547"/>
          <w:marRight w:val="0"/>
          <w:marTop w:val="200"/>
          <w:marBottom w:val="0"/>
          <w:divBdr>
            <w:top w:val="none" w:sz="0" w:space="0" w:color="auto"/>
            <w:left w:val="none" w:sz="0" w:space="0" w:color="auto"/>
            <w:bottom w:val="none" w:sz="0" w:space="0" w:color="auto"/>
            <w:right w:val="none" w:sz="0" w:space="0" w:color="auto"/>
          </w:divBdr>
        </w:div>
      </w:divsChild>
    </w:div>
    <w:div w:id="1275359429">
      <w:bodyDiv w:val="1"/>
      <w:marLeft w:val="0"/>
      <w:marRight w:val="0"/>
      <w:marTop w:val="0"/>
      <w:marBottom w:val="0"/>
      <w:divBdr>
        <w:top w:val="none" w:sz="0" w:space="0" w:color="auto"/>
        <w:left w:val="none" w:sz="0" w:space="0" w:color="auto"/>
        <w:bottom w:val="none" w:sz="0" w:space="0" w:color="auto"/>
        <w:right w:val="none" w:sz="0" w:space="0" w:color="auto"/>
      </w:divBdr>
    </w:div>
    <w:div w:id="1284731578">
      <w:bodyDiv w:val="1"/>
      <w:marLeft w:val="0"/>
      <w:marRight w:val="0"/>
      <w:marTop w:val="0"/>
      <w:marBottom w:val="0"/>
      <w:divBdr>
        <w:top w:val="none" w:sz="0" w:space="0" w:color="auto"/>
        <w:left w:val="none" w:sz="0" w:space="0" w:color="auto"/>
        <w:bottom w:val="none" w:sz="0" w:space="0" w:color="auto"/>
        <w:right w:val="none" w:sz="0" w:space="0" w:color="auto"/>
      </w:divBdr>
    </w:div>
    <w:div w:id="1400471165">
      <w:bodyDiv w:val="1"/>
      <w:marLeft w:val="0"/>
      <w:marRight w:val="0"/>
      <w:marTop w:val="0"/>
      <w:marBottom w:val="0"/>
      <w:divBdr>
        <w:top w:val="none" w:sz="0" w:space="0" w:color="auto"/>
        <w:left w:val="none" w:sz="0" w:space="0" w:color="auto"/>
        <w:bottom w:val="none" w:sz="0" w:space="0" w:color="auto"/>
        <w:right w:val="none" w:sz="0" w:space="0" w:color="auto"/>
      </w:divBdr>
    </w:div>
    <w:div w:id="1415739069">
      <w:bodyDiv w:val="1"/>
      <w:marLeft w:val="0"/>
      <w:marRight w:val="0"/>
      <w:marTop w:val="0"/>
      <w:marBottom w:val="0"/>
      <w:divBdr>
        <w:top w:val="none" w:sz="0" w:space="0" w:color="auto"/>
        <w:left w:val="none" w:sz="0" w:space="0" w:color="auto"/>
        <w:bottom w:val="none" w:sz="0" w:space="0" w:color="auto"/>
        <w:right w:val="none" w:sz="0" w:space="0" w:color="auto"/>
      </w:divBdr>
    </w:div>
    <w:div w:id="1465345001">
      <w:bodyDiv w:val="1"/>
      <w:marLeft w:val="0"/>
      <w:marRight w:val="0"/>
      <w:marTop w:val="0"/>
      <w:marBottom w:val="0"/>
      <w:divBdr>
        <w:top w:val="none" w:sz="0" w:space="0" w:color="auto"/>
        <w:left w:val="none" w:sz="0" w:space="0" w:color="auto"/>
        <w:bottom w:val="none" w:sz="0" w:space="0" w:color="auto"/>
        <w:right w:val="none" w:sz="0" w:space="0" w:color="auto"/>
      </w:divBdr>
    </w:div>
    <w:div w:id="1608854949">
      <w:bodyDiv w:val="1"/>
      <w:marLeft w:val="0"/>
      <w:marRight w:val="0"/>
      <w:marTop w:val="0"/>
      <w:marBottom w:val="0"/>
      <w:divBdr>
        <w:top w:val="none" w:sz="0" w:space="0" w:color="auto"/>
        <w:left w:val="none" w:sz="0" w:space="0" w:color="auto"/>
        <w:bottom w:val="none" w:sz="0" w:space="0" w:color="auto"/>
        <w:right w:val="none" w:sz="0" w:space="0" w:color="auto"/>
      </w:divBdr>
      <w:divsChild>
        <w:div w:id="240024967">
          <w:marLeft w:val="547"/>
          <w:marRight w:val="0"/>
          <w:marTop w:val="0"/>
          <w:marBottom w:val="0"/>
          <w:divBdr>
            <w:top w:val="none" w:sz="0" w:space="0" w:color="auto"/>
            <w:left w:val="none" w:sz="0" w:space="0" w:color="auto"/>
            <w:bottom w:val="none" w:sz="0" w:space="0" w:color="auto"/>
            <w:right w:val="none" w:sz="0" w:space="0" w:color="auto"/>
          </w:divBdr>
        </w:div>
        <w:div w:id="862598086">
          <w:marLeft w:val="547"/>
          <w:marRight w:val="0"/>
          <w:marTop w:val="0"/>
          <w:marBottom w:val="0"/>
          <w:divBdr>
            <w:top w:val="none" w:sz="0" w:space="0" w:color="auto"/>
            <w:left w:val="none" w:sz="0" w:space="0" w:color="auto"/>
            <w:bottom w:val="none" w:sz="0" w:space="0" w:color="auto"/>
            <w:right w:val="none" w:sz="0" w:space="0" w:color="auto"/>
          </w:divBdr>
        </w:div>
        <w:div w:id="1596865927">
          <w:marLeft w:val="547"/>
          <w:marRight w:val="0"/>
          <w:marTop w:val="0"/>
          <w:marBottom w:val="0"/>
          <w:divBdr>
            <w:top w:val="none" w:sz="0" w:space="0" w:color="auto"/>
            <w:left w:val="none" w:sz="0" w:space="0" w:color="auto"/>
            <w:bottom w:val="none" w:sz="0" w:space="0" w:color="auto"/>
            <w:right w:val="none" w:sz="0" w:space="0" w:color="auto"/>
          </w:divBdr>
        </w:div>
        <w:div w:id="397284943">
          <w:marLeft w:val="547"/>
          <w:marRight w:val="0"/>
          <w:marTop w:val="0"/>
          <w:marBottom w:val="0"/>
          <w:divBdr>
            <w:top w:val="none" w:sz="0" w:space="0" w:color="auto"/>
            <w:left w:val="none" w:sz="0" w:space="0" w:color="auto"/>
            <w:bottom w:val="none" w:sz="0" w:space="0" w:color="auto"/>
            <w:right w:val="none" w:sz="0" w:space="0" w:color="auto"/>
          </w:divBdr>
        </w:div>
      </w:divsChild>
    </w:div>
    <w:div w:id="1629704548">
      <w:bodyDiv w:val="1"/>
      <w:marLeft w:val="0"/>
      <w:marRight w:val="0"/>
      <w:marTop w:val="0"/>
      <w:marBottom w:val="0"/>
      <w:divBdr>
        <w:top w:val="none" w:sz="0" w:space="0" w:color="auto"/>
        <w:left w:val="none" w:sz="0" w:space="0" w:color="auto"/>
        <w:bottom w:val="none" w:sz="0" w:space="0" w:color="auto"/>
        <w:right w:val="none" w:sz="0" w:space="0" w:color="auto"/>
      </w:divBdr>
    </w:div>
    <w:div w:id="1888714573">
      <w:bodyDiv w:val="1"/>
      <w:marLeft w:val="0"/>
      <w:marRight w:val="0"/>
      <w:marTop w:val="0"/>
      <w:marBottom w:val="0"/>
      <w:divBdr>
        <w:top w:val="none" w:sz="0" w:space="0" w:color="auto"/>
        <w:left w:val="none" w:sz="0" w:space="0" w:color="auto"/>
        <w:bottom w:val="none" w:sz="0" w:space="0" w:color="auto"/>
        <w:right w:val="none" w:sz="0" w:space="0" w:color="auto"/>
      </w:divBdr>
    </w:div>
    <w:div w:id="1991985035">
      <w:bodyDiv w:val="1"/>
      <w:marLeft w:val="0"/>
      <w:marRight w:val="0"/>
      <w:marTop w:val="0"/>
      <w:marBottom w:val="0"/>
      <w:divBdr>
        <w:top w:val="none" w:sz="0" w:space="0" w:color="auto"/>
        <w:left w:val="none" w:sz="0" w:space="0" w:color="auto"/>
        <w:bottom w:val="none" w:sz="0" w:space="0" w:color="auto"/>
        <w:right w:val="none" w:sz="0" w:space="0" w:color="auto"/>
      </w:divBdr>
    </w:div>
    <w:div w:id="1997493665">
      <w:bodyDiv w:val="1"/>
      <w:marLeft w:val="0"/>
      <w:marRight w:val="0"/>
      <w:marTop w:val="0"/>
      <w:marBottom w:val="0"/>
      <w:divBdr>
        <w:top w:val="none" w:sz="0" w:space="0" w:color="auto"/>
        <w:left w:val="none" w:sz="0" w:space="0" w:color="auto"/>
        <w:bottom w:val="none" w:sz="0" w:space="0" w:color="auto"/>
        <w:right w:val="none" w:sz="0" w:space="0" w:color="auto"/>
      </w:divBdr>
    </w:div>
    <w:div w:id="2057775359">
      <w:bodyDiv w:val="1"/>
      <w:marLeft w:val="0"/>
      <w:marRight w:val="0"/>
      <w:marTop w:val="0"/>
      <w:marBottom w:val="0"/>
      <w:divBdr>
        <w:top w:val="none" w:sz="0" w:space="0" w:color="auto"/>
        <w:left w:val="none" w:sz="0" w:space="0" w:color="auto"/>
        <w:bottom w:val="none" w:sz="0" w:space="0" w:color="auto"/>
        <w:right w:val="none" w:sz="0" w:space="0" w:color="auto"/>
      </w:divBdr>
    </w:div>
    <w:div w:id="20760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2D2A-0FE1-49C1-8B6E-C8AB66BA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Letman</dc:creator>
  <cp:keywords/>
  <dc:description/>
  <cp:lastModifiedBy>Alan Graver</cp:lastModifiedBy>
  <cp:revision>4</cp:revision>
  <dcterms:created xsi:type="dcterms:W3CDTF">2022-12-21T15:30:00Z</dcterms:created>
  <dcterms:modified xsi:type="dcterms:W3CDTF">2022-12-22T11:38:00Z</dcterms:modified>
</cp:coreProperties>
</file>